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firstLine="0" w:firstLineChars="0"/>
        <w:jc w:val="center"/>
        <w:textAlignment w:val="auto"/>
        <w:outlineLvl w:val="9"/>
        <w:rPr>
          <w:rFonts w:eastAsia="方正小标宋_GBK"/>
          <w:color w:val="auto"/>
          <w:w w:val="90"/>
          <w:sz w:val="44"/>
          <w:szCs w:val="44"/>
        </w:rPr>
      </w:pPr>
      <w:r>
        <w:rPr>
          <w:rFonts w:eastAsia="方正小标宋_GBK"/>
          <w:color w:val="auto"/>
          <w:sz w:val="44"/>
          <w:szCs w:val="44"/>
        </w:rPr>
        <w:t>苏州市非急救</w:t>
      </w:r>
      <w:r>
        <w:rPr>
          <w:rFonts w:hint="eastAsia" w:eastAsia="方正小标宋_GBK"/>
          <w:color w:val="auto"/>
          <w:sz w:val="44"/>
          <w:szCs w:val="44"/>
          <w:lang w:eastAsia="zh-CN"/>
        </w:rPr>
        <w:t>转运</w:t>
      </w:r>
      <w:r>
        <w:rPr>
          <w:rFonts w:eastAsia="方正小标宋_GBK"/>
          <w:color w:val="auto"/>
          <w:sz w:val="44"/>
          <w:szCs w:val="44"/>
        </w:rPr>
        <w:t>车辆管理方案</w:t>
      </w:r>
    </w:p>
    <w:p>
      <w:pPr>
        <w:keepNext w:val="0"/>
        <w:keepLines w:val="0"/>
        <w:pageBreakBefore w:val="0"/>
        <w:widowControl w:val="0"/>
        <w:kinsoku/>
        <w:wordWrap/>
        <w:overflowPunct/>
        <w:topLinePunct w:val="0"/>
        <w:autoSpaceDE/>
        <w:autoSpaceDN/>
        <w:bidi w:val="0"/>
        <w:adjustRightInd/>
        <w:snapToGrid/>
        <w:spacing w:line="580" w:lineRule="exact"/>
        <w:ind w:left="0" w:firstLine="0" w:firstLineChars="0"/>
        <w:jc w:val="center"/>
        <w:textAlignment w:val="auto"/>
        <w:outlineLvl w:val="9"/>
        <w:rPr>
          <w:rFonts w:hint="eastAsia" w:ascii="仿宋GB2312" w:hAnsi="仿宋GB2312" w:eastAsia="仿宋GB2312" w:cs="仿宋GB2312"/>
          <w:color w:val="auto"/>
          <w:sz w:val="32"/>
          <w:szCs w:val="32"/>
          <w:lang w:eastAsia="zh-CN"/>
        </w:rPr>
      </w:pPr>
      <w:r>
        <w:rPr>
          <w:rFonts w:hint="eastAsia" w:ascii="仿宋GB2312" w:hAnsi="仿宋GB2312" w:eastAsia="仿宋GB2312" w:cs="仿宋GB2312"/>
          <w:color w:val="auto"/>
          <w:sz w:val="32"/>
          <w:szCs w:val="32"/>
          <w:lang w:eastAsia="zh-CN"/>
        </w:rPr>
        <w:t>（</w:t>
      </w:r>
      <w:r>
        <w:rPr>
          <w:rFonts w:hint="eastAsia" w:ascii="仿宋GB2312" w:hAnsi="仿宋GB2312" w:eastAsia="仿宋GB2312" w:cs="仿宋GB2312"/>
          <w:color w:val="auto"/>
          <w:sz w:val="32"/>
          <w:szCs w:val="32"/>
          <w:lang w:val="en-US" w:eastAsia="zh-CN"/>
        </w:rPr>
        <w:t>征求意见稿</w:t>
      </w:r>
      <w:r>
        <w:rPr>
          <w:rFonts w:hint="eastAsia" w:ascii="仿宋GB2312" w:hAnsi="仿宋GB2312" w:eastAsia="仿宋GB2312" w:cs="仿宋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outlineLvl w:val="9"/>
        <w:rPr>
          <w:rFonts w:ascii="仿宋GB2312" w:hAnsi="仿宋GB2312" w:eastAsia="仿宋GB2312" w:cs="仿宋GB2312"/>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outlineLvl w:val="9"/>
        <w:rPr>
          <w:rFonts w:ascii="仿宋GB2312" w:hAnsi="仿宋GB2312" w:eastAsia="仿宋GB2312" w:cs="仿宋GB2312"/>
          <w:color w:val="auto"/>
          <w:sz w:val="32"/>
          <w:szCs w:val="32"/>
        </w:rPr>
      </w:pPr>
      <w:r>
        <w:rPr>
          <w:rFonts w:ascii="仿宋GB2312" w:hAnsi="仿宋GB2312" w:eastAsia="仿宋GB2312" w:cs="仿宋GB2312"/>
          <w:color w:val="auto"/>
          <w:sz w:val="32"/>
          <w:szCs w:val="32"/>
        </w:rPr>
        <w:t>为加强我市非急救</w:t>
      </w:r>
      <w:r>
        <w:rPr>
          <w:rFonts w:hint="eastAsia" w:ascii="仿宋GB2312" w:hAnsi="仿宋GB2312" w:eastAsia="仿宋GB2312" w:cs="仿宋GB2312"/>
          <w:color w:val="auto"/>
          <w:sz w:val="32"/>
          <w:szCs w:val="32"/>
          <w:lang w:eastAsia="zh-CN"/>
        </w:rPr>
        <w:t>转运</w:t>
      </w:r>
      <w:r>
        <w:rPr>
          <w:rFonts w:hint="eastAsia" w:ascii="仿宋GB2312" w:hAnsi="仿宋GB2312" w:eastAsia="仿宋GB2312" w:cs="仿宋GB2312"/>
          <w:color w:val="auto"/>
          <w:sz w:val="32"/>
          <w:szCs w:val="32"/>
        </w:rPr>
        <w:t>车辆</w:t>
      </w:r>
      <w:r>
        <w:rPr>
          <w:rFonts w:ascii="仿宋GB2312" w:hAnsi="仿宋GB2312" w:eastAsia="仿宋GB2312" w:cs="仿宋GB2312"/>
          <w:color w:val="auto"/>
          <w:sz w:val="32"/>
          <w:szCs w:val="32"/>
        </w:rPr>
        <w:t>管理，更好满足人民群众对非急救转运</w:t>
      </w:r>
      <w:r>
        <w:rPr>
          <w:rFonts w:hint="eastAsia" w:ascii="仿宋GB2312" w:hAnsi="仿宋GB2312" w:eastAsia="仿宋GB2312" w:cs="仿宋GB2312"/>
          <w:color w:val="auto"/>
          <w:sz w:val="32"/>
          <w:szCs w:val="32"/>
        </w:rPr>
        <w:t>服务</w:t>
      </w:r>
      <w:r>
        <w:rPr>
          <w:rFonts w:ascii="仿宋GB2312" w:hAnsi="仿宋GB2312" w:eastAsia="仿宋GB2312" w:cs="仿宋GB2312"/>
          <w:color w:val="auto"/>
          <w:sz w:val="32"/>
          <w:szCs w:val="32"/>
        </w:rPr>
        <w:t>多层次、多样化的需求，保障医疗质量和安全，</w:t>
      </w:r>
      <w:r>
        <w:rPr>
          <w:rFonts w:hint="eastAsia" w:ascii="仿宋GB2312" w:hAnsi="仿宋GB2312" w:eastAsia="仿宋GB2312" w:cs="仿宋GB2312"/>
          <w:color w:val="auto"/>
          <w:sz w:val="32"/>
          <w:szCs w:val="32"/>
        </w:rPr>
        <w:t>特制定本方案。</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firstLine="640" w:firstLineChars="200"/>
        <w:jc w:val="both"/>
        <w:textAlignment w:val="auto"/>
        <w:outlineLvl w:val="9"/>
        <w:rPr>
          <w:rFonts w:ascii="黑体" w:hAnsi="黑体" w:eastAsia="黑体" w:cs="黑体"/>
          <w:color w:val="auto"/>
          <w:sz w:val="32"/>
          <w:szCs w:val="32"/>
        </w:rPr>
      </w:pPr>
      <w:bookmarkStart w:id="0" w:name="_Hlk108600951"/>
      <w:r>
        <w:rPr>
          <w:rFonts w:hint="eastAsia" w:ascii="黑体" w:hAnsi="黑体" w:eastAsia="黑体" w:cs="黑体"/>
          <w:color w:val="auto"/>
          <w:sz w:val="32"/>
          <w:szCs w:val="32"/>
        </w:rPr>
        <w:t>非急救</w:t>
      </w:r>
      <w:r>
        <w:rPr>
          <w:rFonts w:hint="eastAsia" w:ascii="黑体" w:hAnsi="黑体" w:eastAsia="黑体" w:cs="黑体"/>
          <w:color w:val="auto"/>
          <w:sz w:val="32"/>
          <w:szCs w:val="32"/>
          <w:lang w:eastAsia="zh-CN"/>
        </w:rPr>
        <w:t>转运</w:t>
      </w:r>
      <w:r>
        <w:rPr>
          <w:rFonts w:hint="eastAsia" w:ascii="黑体" w:hAnsi="黑体" w:eastAsia="黑体" w:cs="黑体"/>
          <w:color w:val="auto"/>
          <w:sz w:val="32"/>
          <w:szCs w:val="32"/>
        </w:rPr>
        <w:t>服务范围</w:t>
      </w:r>
      <w:bookmarkEnd w:id="0"/>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outlineLvl w:val="9"/>
        <w:rPr>
          <w:rFonts w:ascii="仿宋GB2312" w:hAnsi="仿宋GB2312" w:eastAsia="仿宋GB2312" w:cs="仿宋GB2312"/>
          <w:color w:val="auto"/>
          <w:sz w:val="32"/>
          <w:szCs w:val="32"/>
        </w:rPr>
      </w:pPr>
      <w:r>
        <w:rPr>
          <w:rFonts w:hint="eastAsia" w:ascii="仿宋GB2312" w:hAnsi="仿宋GB2312" w:eastAsia="仿宋GB2312" w:cs="仿宋GB2312"/>
          <w:color w:val="auto"/>
          <w:sz w:val="32"/>
          <w:szCs w:val="32"/>
        </w:rPr>
        <w:t>非急救转运</w:t>
      </w:r>
      <w:r>
        <w:rPr>
          <w:rFonts w:hint="eastAsia" w:ascii="仿宋GB2312" w:hAnsi="仿宋GB2312" w:eastAsia="仿宋GB2312" w:cs="仿宋GB2312"/>
          <w:color w:val="auto"/>
          <w:sz w:val="32"/>
          <w:szCs w:val="32"/>
          <w:lang w:eastAsia="zh-CN"/>
        </w:rPr>
        <w:t>车辆</w:t>
      </w:r>
      <w:r>
        <w:rPr>
          <w:rFonts w:hint="eastAsia" w:ascii="仿宋GB2312" w:hAnsi="仿宋GB2312" w:eastAsia="仿宋GB2312" w:cs="仿宋GB2312"/>
          <w:color w:val="auto"/>
          <w:sz w:val="32"/>
          <w:szCs w:val="32"/>
        </w:rPr>
        <w:t>主要为以下对象提供运送服务：在医院获得有效救治后遵医嘱可以回家或去养老院、护理院、康复医院等接续性医疗机构进一步恢复、康复的行动不便患者；不属于院前急救转运范围的行动不便患者看病就医。上述患者转运有特殊需求（如卧位、担架等），但不需要专业医疗护送，包括</w:t>
      </w:r>
      <w:r>
        <w:rPr>
          <w:rFonts w:hint="eastAsia" w:ascii="仿宋GB2312" w:hAnsi="仿宋GB2312" w:eastAsia="仿宋GB2312" w:cs="仿宋GB2312"/>
          <w:color w:val="auto"/>
          <w:sz w:val="32"/>
          <w:szCs w:val="32"/>
          <w:lang w:val="en-US" w:eastAsia="zh-CN"/>
        </w:rPr>
        <w:t>市</w:t>
      </w:r>
      <w:r>
        <w:rPr>
          <w:rFonts w:hint="eastAsia" w:ascii="仿宋GB2312" w:hAnsi="仿宋GB2312" w:eastAsia="仿宋GB2312" w:cs="仿宋GB2312"/>
          <w:color w:val="auto"/>
          <w:sz w:val="32"/>
          <w:szCs w:val="32"/>
        </w:rPr>
        <w:t>内短途转运和跨行政区域长途转运服务。</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rPr>
        <w:t>二、非急救</w:t>
      </w:r>
      <w:r>
        <w:rPr>
          <w:rFonts w:hint="eastAsia" w:ascii="黑体" w:hAnsi="黑体" w:eastAsia="黑体" w:cs="黑体"/>
          <w:color w:val="auto"/>
          <w:sz w:val="32"/>
          <w:szCs w:val="32"/>
          <w:lang w:eastAsia="zh-CN"/>
        </w:rPr>
        <w:t>转运</w:t>
      </w:r>
      <w:r>
        <w:rPr>
          <w:rFonts w:hint="eastAsia" w:ascii="黑体" w:hAnsi="黑体" w:eastAsia="黑体" w:cs="黑体"/>
          <w:color w:val="auto"/>
          <w:sz w:val="32"/>
          <w:szCs w:val="32"/>
        </w:rPr>
        <w:t>车</w:t>
      </w:r>
      <w:r>
        <w:rPr>
          <w:rFonts w:hint="eastAsia" w:ascii="黑体" w:hAnsi="黑体" w:eastAsia="黑体" w:cs="黑体"/>
          <w:color w:val="auto"/>
          <w:sz w:val="32"/>
          <w:szCs w:val="32"/>
          <w:lang w:eastAsia="zh-CN"/>
        </w:rPr>
        <w:t>辆设置条件</w:t>
      </w:r>
    </w:p>
    <w:p>
      <w:pPr>
        <w:keepNext w:val="0"/>
        <w:keepLines w:val="0"/>
        <w:pageBreakBefore w:val="0"/>
        <w:widowControl w:val="0"/>
        <w:tabs>
          <w:tab w:val="left" w:pos="0"/>
        </w:tabs>
        <w:kinsoku/>
        <w:wordWrap/>
        <w:overflowPunct/>
        <w:topLinePunct w:val="0"/>
        <w:autoSpaceDE/>
        <w:autoSpaceDN/>
        <w:bidi w:val="0"/>
        <w:adjustRightInd/>
        <w:snapToGrid/>
        <w:spacing w:line="580" w:lineRule="exact"/>
        <w:ind w:left="0" w:firstLine="640" w:firstLineChars="200"/>
        <w:jc w:val="both"/>
        <w:textAlignment w:val="auto"/>
        <w:outlineLvl w:val="9"/>
        <w:rPr>
          <w:rFonts w:eastAsia="方正仿宋_GBK"/>
          <w:color w:val="auto"/>
          <w:sz w:val="32"/>
          <w:szCs w:val="32"/>
        </w:rPr>
      </w:pPr>
      <w:r>
        <w:rPr>
          <w:rFonts w:hint="eastAsia" w:ascii="方正楷体_GBK" w:hAnsi="方正楷体_GBK" w:eastAsia="方正楷体_GBK" w:cs="方正楷体_GBK"/>
          <w:color w:val="auto"/>
          <w:sz w:val="32"/>
          <w:szCs w:val="32"/>
        </w:rPr>
        <w:t>（一）基本条件。</w:t>
      </w:r>
      <w:r>
        <w:rPr>
          <w:rFonts w:eastAsia="方正仿宋_GBK"/>
          <w:color w:val="auto"/>
          <w:sz w:val="32"/>
          <w:szCs w:val="32"/>
        </w:rPr>
        <w:t>承担非急救转运的车辆应隶属于</w:t>
      </w:r>
      <w:r>
        <w:rPr>
          <w:rFonts w:hint="eastAsia" w:eastAsia="方正仿宋_GBK"/>
          <w:color w:val="auto"/>
          <w:sz w:val="32"/>
          <w:szCs w:val="32"/>
          <w:lang w:val="en-US" w:eastAsia="zh-CN"/>
        </w:rPr>
        <w:t>承运单位</w:t>
      </w:r>
      <w:r>
        <w:rPr>
          <w:rFonts w:eastAsia="方正仿宋_GBK"/>
          <w:color w:val="auto"/>
          <w:sz w:val="32"/>
          <w:szCs w:val="32"/>
        </w:rPr>
        <w:t>，</w:t>
      </w:r>
      <w:r>
        <w:rPr>
          <w:rFonts w:hint="eastAsia" w:ascii="仿宋GB2312" w:hAnsi="仿宋GB2312" w:eastAsia="仿宋GB2312" w:cs="仿宋GB2312"/>
          <w:color w:val="auto"/>
          <w:sz w:val="32"/>
          <w:szCs w:val="32"/>
        </w:rPr>
        <w:t>从事转运经营的</w:t>
      </w:r>
      <w:r>
        <w:rPr>
          <w:rFonts w:hint="eastAsia" w:ascii="仿宋GB2312" w:hAnsi="仿宋GB2312" w:eastAsia="仿宋GB2312" w:cs="仿宋GB2312"/>
          <w:color w:val="auto"/>
          <w:sz w:val="32"/>
          <w:szCs w:val="32"/>
          <w:lang w:val="en-US" w:eastAsia="zh-CN"/>
        </w:rPr>
        <w:t>承运</w:t>
      </w:r>
      <w:r>
        <w:rPr>
          <w:rFonts w:hint="eastAsia" w:ascii="仿宋GB2312" w:hAnsi="仿宋GB2312" w:eastAsia="仿宋GB2312" w:cs="仿宋GB2312"/>
          <w:color w:val="auto"/>
          <w:sz w:val="32"/>
          <w:szCs w:val="32"/>
        </w:rPr>
        <w:t>单位必须</w:t>
      </w:r>
      <w:r>
        <w:rPr>
          <w:rFonts w:hint="eastAsia" w:ascii="仿宋GB2312" w:hAnsi="仿宋GB2312" w:eastAsia="仿宋GB2312" w:cs="仿宋GB2312"/>
          <w:color w:val="auto"/>
          <w:sz w:val="32"/>
          <w:szCs w:val="32"/>
          <w:lang w:val="en-US" w:eastAsia="zh-CN"/>
        </w:rPr>
        <w:t>为</w:t>
      </w:r>
      <w:r>
        <w:rPr>
          <w:rFonts w:hint="eastAsia" w:ascii="仿宋GB2312" w:hAnsi="仿宋GB2312" w:eastAsia="仿宋GB2312" w:cs="仿宋GB2312"/>
          <w:color w:val="auto"/>
          <w:sz w:val="32"/>
          <w:szCs w:val="32"/>
          <w:lang w:eastAsia="zh-CN"/>
        </w:rPr>
        <w:t>我市医疗机构</w:t>
      </w:r>
      <w:r>
        <w:rPr>
          <w:rFonts w:eastAsia="方正仿宋_GBK"/>
          <w:color w:val="auto"/>
          <w:sz w:val="32"/>
          <w:szCs w:val="32"/>
        </w:rPr>
        <w:t>，并提供医疗机构执业许可证以及</w:t>
      </w:r>
      <w:r>
        <w:rPr>
          <w:rFonts w:hint="eastAsia" w:eastAsia="方正仿宋_GBK"/>
          <w:color w:val="auto"/>
          <w:sz w:val="32"/>
          <w:szCs w:val="32"/>
          <w:lang w:val="en-US" w:eastAsia="zh-CN"/>
        </w:rPr>
        <w:t>承运单位</w:t>
      </w:r>
      <w:r>
        <w:rPr>
          <w:rFonts w:eastAsia="方正仿宋_GBK"/>
          <w:color w:val="auto"/>
          <w:sz w:val="32"/>
          <w:szCs w:val="32"/>
        </w:rPr>
        <w:t>与车辆隶属关系证明</w:t>
      </w:r>
      <w:r>
        <w:rPr>
          <w:rFonts w:hint="eastAsia" w:eastAsia="方正仿宋_GBK"/>
          <w:color w:val="auto"/>
          <w:sz w:val="32"/>
          <w:szCs w:val="32"/>
          <w:lang w:eastAsia="zh-CN"/>
        </w:rPr>
        <w:t>等</w:t>
      </w:r>
      <w:r>
        <w:rPr>
          <w:rFonts w:eastAsia="方正仿宋_GBK"/>
          <w:color w:val="auto"/>
          <w:sz w:val="32"/>
          <w:szCs w:val="32"/>
        </w:rPr>
        <w:t>。</w:t>
      </w:r>
    </w:p>
    <w:p>
      <w:pPr>
        <w:keepNext w:val="0"/>
        <w:keepLines w:val="0"/>
        <w:pageBreakBefore w:val="0"/>
        <w:widowControl w:val="0"/>
        <w:tabs>
          <w:tab w:val="left" w:pos="0"/>
        </w:tabs>
        <w:kinsoku/>
        <w:wordWrap/>
        <w:overflowPunct/>
        <w:topLinePunct w:val="0"/>
        <w:autoSpaceDE/>
        <w:autoSpaceDN/>
        <w:bidi w:val="0"/>
        <w:adjustRightInd/>
        <w:snapToGrid/>
        <w:spacing w:line="580" w:lineRule="exact"/>
        <w:ind w:left="0" w:firstLine="640" w:firstLineChars="200"/>
        <w:jc w:val="both"/>
        <w:textAlignment w:val="auto"/>
        <w:outlineLvl w:val="9"/>
        <w:rPr>
          <w:rFonts w:eastAsia="方正仿宋_GBK"/>
          <w:color w:val="auto"/>
          <w:sz w:val="32"/>
          <w:szCs w:val="32"/>
        </w:rPr>
      </w:pPr>
      <w:r>
        <w:rPr>
          <w:rFonts w:hint="eastAsia" w:ascii="方正楷体_GBK" w:hAnsi="方正楷体_GBK" w:eastAsia="方正楷体_GBK" w:cs="方正楷体_GBK"/>
          <w:color w:val="auto"/>
          <w:sz w:val="32"/>
          <w:szCs w:val="32"/>
        </w:rPr>
        <w:t>（二）</w:t>
      </w:r>
      <w:r>
        <w:rPr>
          <w:rFonts w:hint="eastAsia" w:ascii="方正楷体_GBK" w:hAnsi="方正楷体_GBK" w:eastAsia="方正楷体_GBK" w:cs="方正楷体_GBK"/>
          <w:color w:val="auto"/>
          <w:sz w:val="32"/>
          <w:szCs w:val="32"/>
          <w:lang w:val="en-US" w:eastAsia="zh-CN"/>
        </w:rPr>
        <w:t>征招方式</w:t>
      </w:r>
      <w:r>
        <w:rPr>
          <w:rFonts w:hint="eastAsia" w:ascii="方正楷体_GBK" w:hAnsi="方正楷体_GBK" w:eastAsia="方正楷体_GBK" w:cs="方正楷体_GBK"/>
          <w:color w:val="auto"/>
          <w:sz w:val="32"/>
          <w:szCs w:val="32"/>
        </w:rPr>
        <w:t>。</w:t>
      </w:r>
      <w:r>
        <w:rPr>
          <w:rFonts w:eastAsia="方正仿宋_GBK"/>
          <w:color w:val="auto"/>
          <w:sz w:val="32"/>
          <w:szCs w:val="32"/>
        </w:rPr>
        <w:t>采用</w:t>
      </w:r>
      <w:r>
        <w:rPr>
          <w:rFonts w:hint="eastAsia" w:eastAsia="方正仿宋_GBK"/>
          <w:color w:val="auto"/>
          <w:sz w:val="32"/>
          <w:szCs w:val="32"/>
          <w:lang w:val="en-US" w:eastAsia="zh-CN"/>
        </w:rPr>
        <w:t>公开征招、</w:t>
      </w:r>
      <w:r>
        <w:rPr>
          <w:rFonts w:eastAsia="方正仿宋_GBK"/>
          <w:color w:val="auto"/>
          <w:sz w:val="32"/>
          <w:szCs w:val="32"/>
        </w:rPr>
        <w:t>自愿</w:t>
      </w:r>
      <w:r>
        <w:rPr>
          <w:rFonts w:hint="eastAsia" w:eastAsia="方正仿宋_GBK"/>
          <w:color w:val="auto"/>
          <w:sz w:val="32"/>
          <w:szCs w:val="32"/>
          <w:lang w:val="en-US" w:eastAsia="zh-CN"/>
        </w:rPr>
        <w:t>报名</w:t>
      </w:r>
      <w:r>
        <w:rPr>
          <w:rFonts w:eastAsia="方正仿宋_GBK"/>
          <w:color w:val="auto"/>
          <w:sz w:val="32"/>
          <w:szCs w:val="32"/>
        </w:rPr>
        <w:t>、</w:t>
      </w:r>
      <w:r>
        <w:rPr>
          <w:rFonts w:hint="eastAsia" w:eastAsia="方正仿宋_GBK"/>
          <w:color w:val="auto"/>
          <w:sz w:val="32"/>
          <w:szCs w:val="32"/>
          <w:lang w:val="en-US" w:eastAsia="zh-CN"/>
        </w:rPr>
        <w:t>论证</w:t>
      </w:r>
      <w:r>
        <w:rPr>
          <w:rFonts w:hint="eastAsia" w:eastAsia="方正仿宋_GBK"/>
          <w:color w:val="auto"/>
          <w:sz w:val="32"/>
          <w:szCs w:val="32"/>
        </w:rPr>
        <w:t>确认</w:t>
      </w:r>
      <w:r>
        <w:rPr>
          <w:rFonts w:eastAsia="方正仿宋_GBK"/>
          <w:color w:val="auto"/>
          <w:sz w:val="32"/>
          <w:szCs w:val="32"/>
        </w:rPr>
        <w:t>的方式</w:t>
      </w:r>
      <w:r>
        <w:rPr>
          <w:rFonts w:hint="eastAsia" w:eastAsia="方正仿宋_GBK"/>
          <w:color w:val="auto"/>
          <w:sz w:val="32"/>
          <w:szCs w:val="32"/>
          <w:lang w:val="en-US" w:eastAsia="zh-CN"/>
        </w:rPr>
        <w:t>遴选承运单位</w:t>
      </w:r>
      <w:r>
        <w:rPr>
          <w:rFonts w:hint="eastAsia" w:eastAsia="方正仿宋_GBK"/>
          <w:color w:val="auto"/>
          <w:sz w:val="32"/>
          <w:szCs w:val="32"/>
        </w:rPr>
        <w:t>，符合条件的机构</w:t>
      </w:r>
      <w:r>
        <w:rPr>
          <w:rFonts w:hint="eastAsia" w:ascii="仿宋GB2312" w:hAnsi="仿宋GB2312" w:eastAsia="仿宋GB2312" w:cs="仿宋GB2312"/>
          <w:color w:val="auto"/>
          <w:sz w:val="32"/>
          <w:szCs w:val="32"/>
        </w:rPr>
        <w:t>向属地卫生健康行政部门提出申请，递交相关支撑材料，</w:t>
      </w:r>
      <w:r>
        <w:rPr>
          <w:rFonts w:eastAsia="方正仿宋_GBK"/>
          <w:color w:val="auto"/>
          <w:sz w:val="32"/>
          <w:szCs w:val="32"/>
        </w:rPr>
        <w:t>经</w:t>
      </w:r>
      <w:r>
        <w:rPr>
          <w:rFonts w:hint="eastAsia" w:eastAsia="方正仿宋_GBK"/>
          <w:color w:val="auto"/>
          <w:sz w:val="32"/>
          <w:szCs w:val="32"/>
          <w:lang w:val="en-US" w:eastAsia="zh-CN"/>
        </w:rPr>
        <w:t>论证</w:t>
      </w:r>
      <w:r>
        <w:rPr>
          <w:rFonts w:hint="eastAsia" w:eastAsia="方正仿宋_GBK"/>
          <w:color w:val="auto"/>
          <w:sz w:val="32"/>
          <w:szCs w:val="32"/>
        </w:rPr>
        <w:t>确认</w:t>
      </w:r>
      <w:r>
        <w:rPr>
          <w:rFonts w:eastAsia="方正仿宋_GBK"/>
          <w:color w:val="auto"/>
          <w:sz w:val="32"/>
          <w:szCs w:val="32"/>
        </w:rPr>
        <w:t>后</w:t>
      </w:r>
      <w:r>
        <w:rPr>
          <w:rFonts w:hint="eastAsia" w:ascii="仿宋GB2312" w:hAnsi="仿宋GB2312" w:eastAsia="仿宋GB2312" w:cs="仿宋GB2312"/>
          <w:color w:val="auto"/>
          <w:sz w:val="32"/>
          <w:szCs w:val="32"/>
        </w:rPr>
        <w:t>，办理</w:t>
      </w:r>
      <w:r>
        <w:rPr>
          <w:rFonts w:ascii="仿宋GB2312" w:hAnsi="仿宋GB2312" w:eastAsia="仿宋GB2312" w:cs="仿宋GB2312"/>
          <w:color w:val="auto"/>
          <w:sz w:val="32"/>
          <w:szCs w:val="32"/>
        </w:rPr>
        <w:t>相应</w:t>
      </w:r>
      <w:r>
        <w:rPr>
          <w:rFonts w:hint="eastAsia" w:ascii="仿宋GB2312" w:hAnsi="仿宋GB2312" w:eastAsia="仿宋GB2312" w:cs="仿宋GB2312"/>
          <w:color w:val="auto"/>
          <w:sz w:val="32"/>
          <w:szCs w:val="32"/>
        </w:rPr>
        <w:t>手续并向</w:t>
      </w:r>
      <w:r>
        <w:rPr>
          <w:rFonts w:ascii="仿宋GB2312" w:hAnsi="仿宋GB2312" w:eastAsia="仿宋GB2312" w:cs="仿宋GB2312"/>
          <w:color w:val="auto"/>
          <w:sz w:val="32"/>
          <w:szCs w:val="32"/>
        </w:rPr>
        <w:t>社会公</w:t>
      </w:r>
      <w:r>
        <w:rPr>
          <w:rFonts w:hint="eastAsia" w:ascii="仿宋GB2312" w:hAnsi="仿宋GB2312" w:eastAsia="仿宋GB2312" w:cs="仿宋GB2312"/>
          <w:color w:val="auto"/>
          <w:sz w:val="32"/>
          <w:szCs w:val="32"/>
        </w:rPr>
        <w:t>开，同时</w:t>
      </w:r>
      <w:r>
        <w:rPr>
          <w:rFonts w:eastAsia="方正仿宋_GBK"/>
          <w:color w:val="auto"/>
          <w:sz w:val="32"/>
          <w:szCs w:val="32"/>
        </w:rPr>
        <w:t>与</w:t>
      </w:r>
      <w:r>
        <w:rPr>
          <w:rFonts w:hint="eastAsia" w:eastAsia="方正仿宋_GBK"/>
          <w:color w:val="auto"/>
          <w:sz w:val="32"/>
          <w:szCs w:val="32"/>
        </w:rPr>
        <w:t>属地“120”</w:t>
      </w:r>
      <w:r>
        <w:rPr>
          <w:rFonts w:eastAsia="方正仿宋_GBK"/>
          <w:color w:val="auto"/>
          <w:sz w:val="32"/>
          <w:szCs w:val="32"/>
        </w:rPr>
        <w:t>急救中心签订协议，由</w:t>
      </w:r>
      <w:r>
        <w:rPr>
          <w:rFonts w:hint="eastAsia" w:eastAsia="方正仿宋_GBK"/>
          <w:color w:val="auto"/>
          <w:sz w:val="32"/>
          <w:szCs w:val="32"/>
        </w:rPr>
        <w:t>属地“120”</w:t>
      </w:r>
      <w:r>
        <w:rPr>
          <w:rFonts w:eastAsia="方正仿宋_GBK"/>
          <w:color w:val="auto"/>
          <w:sz w:val="32"/>
          <w:szCs w:val="32"/>
        </w:rPr>
        <w:t>急救中心统一</w:t>
      </w:r>
      <w:r>
        <w:rPr>
          <w:rFonts w:hint="eastAsia" w:ascii="仿宋GB2312" w:hAnsi="仿宋GB2312" w:eastAsia="仿宋GB2312" w:cs="仿宋GB2312"/>
          <w:color w:val="auto"/>
          <w:sz w:val="32"/>
          <w:szCs w:val="32"/>
        </w:rPr>
        <w:t>管理和</w:t>
      </w:r>
      <w:r>
        <w:rPr>
          <w:rFonts w:eastAsia="方正仿宋_GBK"/>
          <w:color w:val="auto"/>
          <w:sz w:val="32"/>
          <w:szCs w:val="32"/>
        </w:rPr>
        <w:t>调度，并接受行业指导与监管。</w:t>
      </w:r>
    </w:p>
    <w:p>
      <w:pPr>
        <w:keepNext w:val="0"/>
        <w:keepLines w:val="0"/>
        <w:pageBreakBefore w:val="0"/>
        <w:widowControl w:val="0"/>
        <w:tabs>
          <w:tab w:val="left" w:pos="0"/>
        </w:tabs>
        <w:kinsoku/>
        <w:wordWrap/>
        <w:overflowPunct/>
        <w:topLinePunct w:val="0"/>
        <w:autoSpaceDE/>
        <w:autoSpaceDN/>
        <w:bidi w:val="0"/>
        <w:adjustRightInd/>
        <w:snapToGrid/>
        <w:spacing w:line="580" w:lineRule="exact"/>
        <w:ind w:left="0" w:firstLine="640" w:firstLineChars="200"/>
        <w:jc w:val="both"/>
        <w:textAlignment w:val="auto"/>
        <w:outlineLvl w:val="9"/>
        <w:rPr>
          <w:rFonts w:eastAsia="方正仿宋_GBK"/>
          <w:bCs/>
          <w:color w:val="auto"/>
          <w:sz w:val="32"/>
          <w:szCs w:val="32"/>
        </w:rPr>
      </w:pPr>
      <w:r>
        <w:rPr>
          <w:rFonts w:hint="eastAsia" w:ascii="方正楷体_GBK" w:hAnsi="方正楷体_GBK" w:eastAsia="方正楷体_GBK" w:cs="方正楷体_GBK"/>
          <w:color w:val="auto"/>
          <w:sz w:val="32"/>
          <w:szCs w:val="32"/>
        </w:rPr>
        <w:t>（三）场所要求。</w:t>
      </w:r>
      <w:r>
        <w:rPr>
          <w:rFonts w:hint="eastAsia" w:eastAsia="方正仿宋_GBK"/>
          <w:color w:val="auto"/>
          <w:sz w:val="32"/>
          <w:szCs w:val="32"/>
          <w:lang w:val="en-US" w:eastAsia="zh-CN"/>
        </w:rPr>
        <w:t>承运单位</w:t>
      </w:r>
      <w:r>
        <w:rPr>
          <w:rFonts w:eastAsia="方正仿宋_GBK"/>
          <w:bCs/>
          <w:color w:val="auto"/>
          <w:sz w:val="32"/>
          <w:szCs w:val="32"/>
        </w:rPr>
        <w:t>办公场所面积60-80平方米，分接警办公、值班待命、物资储备等区域。建立相对独立的车辆进出通道及专用停车位。</w:t>
      </w:r>
    </w:p>
    <w:p>
      <w:pPr>
        <w:keepNext w:val="0"/>
        <w:keepLines w:val="0"/>
        <w:pageBreakBefore w:val="0"/>
        <w:widowControl w:val="0"/>
        <w:tabs>
          <w:tab w:val="left" w:pos="0"/>
        </w:tabs>
        <w:kinsoku/>
        <w:wordWrap/>
        <w:overflowPunct/>
        <w:topLinePunct w:val="0"/>
        <w:autoSpaceDE/>
        <w:autoSpaceDN/>
        <w:bidi w:val="0"/>
        <w:adjustRightInd/>
        <w:snapToGrid/>
        <w:spacing w:line="580" w:lineRule="exact"/>
        <w:ind w:left="0" w:firstLine="640" w:firstLineChars="200"/>
        <w:jc w:val="both"/>
        <w:textAlignment w:val="auto"/>
        <w:outlineLvl w:val="9"/>
        <w:rPr>
          <w:rFonts w:eastAsia="方正仿宋_GBK"/>
          <w:color w:val="auto"/>
          <w:sz w:val="32"/>
          <w:szCs w:val="32"/>
        </w:rPr>
      </w:pPr>
      <w:r>
        <w:rPr>
          <w:rFonts w:hint="eastAsia" w:ascii="方正楷体_GBK" w:hAnsi="方正楷体_GBK" w:eastAsia="方正楷体_GBK" w:cs="方正楷体_GBK"/>
          <w:color w:val="auto"/>
          <w:sz w:val="32"/>
          <w:szCs w:val="32"/>
        </w:rPr>
        <w:t>（四）车辆要求。</w:t>
      </w:r>
      <w:r>
        <w:rPr>
          <w:rFonts w:hint="eastAsia" w:eastAsia="方正仿宋_GBK"/>
          <w:color w:val="auto"/>
          <w:sz w:val="32"/>
          <w:szCs w:val="32"/>
        </w:rPr>
        <w:t>从事</w:t>
      </w:r>
      <w:r>
        <w:rPr>
          <w:rFonts w:eastAsia="方正仿宋_GBK"/>
          <w:color w:val="auto"/>
          <w:sz w:val="32"/>
          <w:szCs w:val="32"/>
        </w:rPr>
        <w:t>非急救转运</w:t>
      </w:r>
      <w:r>
        <w:rPr>
          <w:rFonts w:hint="eastAsia" w:eastAsia="方正仿宋_GBK"/>
          <w:color w:val="auto"/>
          <w:sz w:val="32"/>
          <w:szCs w:val="32"/>
        </w:rPr>
        <w:t>服务的</w:t>
      </w:r>
      <w:r>
        <w:rPr>
          <w:rFonts w:eastAsia="方正仿宋_GBK"/>
          <w:color w:val="auto"/>
          <w:sz w:val="32"/>
          <w:szCs w:val="32"/>
        </w:rPr>
        <w:t>车辆应满足转运基本要求，符合国家安全标准，取得机动车检验合格证明，并经公安机关交通管理部门注册登记，年检合格，保险齐全。车内至少配备有标准上车担架、固定带、车内扶手，并有足够大的放置空间。车辆主色统一</w:t>
      </w:r>
      <w:r>
        <w:rPr>
          <w:rFonts w:hint="eastAsia" w:eastAsia="方正仿宋_GBK"/>
          <w:color w:val="auto"/>
          <w:sz w:val="32"/>
          <w:szCs w:val="32"/>
        </w:rPr>
        <w:t>外观标识和喷涂，</w:t>
      </w:r>
      <w:r>
        <w:rPr>
          <w:rFonts w:eastAsia="方正仿宋_GBK"/>
          <w:color w:val="auto"/>
          <w:sz w:val="32"/>
          <w:szCs w:val="32"/>
        </w:rPr>
        <w:t>不使用警报器和标志灯具。</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outlineLvl w:val="9"/>
        <w:rPr>
          <w:rFonts w:eastAsia="方正仿宋_GBK"/>
          <w:color w:val="auto"/>
          <w:sz w:val="32"/>
          <w:szCs w:val="32"/>
        </w:rPr>
      </w:pPr>
      <w:r>
        <w:rPr>
          <w:rFonts w:hint="eastAsia" w:ascii="方正楷体_GBK" w:hAnsi="方正楷体_GBK" w:eastAsia="方正楷体_GBK" w:cs="方正楷体_GBK"/>
          <w:color w:val="auto"/>
          <w:sz w:val="32"/>
          <w:szCs w:val="32"/>
        </w:rPr>
        <w:t>（五）人员配置。</w:t>
      </w:r>
      <w:r>
        <w:rPr>
          <w:rFonts w:eastAsia="方正仿宋_GBK"/>
          <w:color w:val="auto"/>
          <w:sz w:val="32"/>
          <w:szCs w:val="32"/>
        </w:rPr>
        <w:t>转运车每车应配备1名驾驶员和1名担架员，要求无行政、刑事处罚记录，无重大社会负面影响或信用不良记录；身心健康，无传染性疾病，无可能危及行车及患者安全的疾病病史。驾驶员应持有相应准驾车型驾驶证3年以上，最近连续3个记分周期内没有记满12分记录；近三年内无重大责任事故，无致人死亡或者重伤的交通事故责任记录；无酒后驾驶或者醉酒驾驶机动车记录，近1年内无超载、超速等严重交通违法行为记录；担架员能胜任搬运等体力工作。所有车上工作人员必须为非急救转运</w:t>
      </w:r>
      <w:r>
        <w:rPr>
          <w:rFonts w:hint="eastAsia" w:eastAsia="方正仿宋_GBK"/>
          <w:color w:val="auto"/>
          <w:sz w:val="32"/>
          <w:szCs w:val="32"/>
          <w:lang w:val="en-US" w:eastAsia="zh-CN"/>
        </w:rPr>
        <w:t>承运单位</w:t>
      </w:r>
      <w:r>
        <w:rPr>
          <w:rFonts w:eastAsia="方正仿宋_GBK"/>
          <w:color w:val="auto"/>
          <w:sz w:val="32"/>
          <w:szCs w:val="32"/>
        </w:rPr>
        <w:t>的签约员工，并经过急救知识和急救技能培训，取得相应的合格证书方可上岗。</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outlineLvl w:val="9"/>
        <w:rPr>
          <w:rFonts w:ascii="黑体" w:hAnsi="黑体" w:eastAsia="黑体" w:cs="黑体"/>
          <w:color w:val="auto"/>
          <w:sz w:val="32"/>
          <w:szCs w:val="32"/>
        </w:rPr>
      </w:pPr>
      <w:r>
        <w:rPr>
          <w:rFonts w:hint="eastAsia" w:ascii="黑体" w:hAnsi="黑体" w:eastAsia="黑体" w:cs="黑体"/>
          <w:color w:val="auto"/>
          <w:sz w:val="32"/>
          <w:szCs w:val="32"/>
        </w:rPr>
        <w:t>三、</w:t>
      </w:r>
      <w:r>
        <w:rPr>
          <w:rFonts w:hint="eastAsia" w:ascii="黑体" w:hAnsi="黑体" w:eastAsia="黑体" w:cs="黑体"/>
          <w:color w:val="auto"/>
          <w:sz w:val="32"/>
          <w:szCs w:val="32"/>
          <w:lang w:eastAsia="zh-CN"/>
        </w:rPr>
        <w:t>规范</w:t>
      </w:r>
      <w:r>
        <w:rPr>
          <w:rFonts w:hint="eastAsia" w:ascii="黑体" w:hAnsi="黑体" w:eastAsia="黑体" w:cs="黑体"/>
          <w:color w:val="auto"/>
          <w:sz w:val="32"/>
          <w:szCs w:val="32"/>
        </w:rPr>
        <w:t>非急救</w:t>
      </w:r>
      <w:r>
        <w:rPr>
          <w:rFonts w:hint="eastAsia" w:ascii="黑体" w:hAnsi="黑体" w:eastAsia="黑体" w:cs="黑体"/>
          <w:color w:val="auto"/>
          <w:sz w:val="32"/>
          <w:szCs w:val="32"/>
          <w:lang w:eastAsia="zh-CN"/>
        </w:rPr>
        <w:t>转运</w:t>
      </w:r>
      <w:r>
        <w:rPr>
          <w:rFonts w:hint="eastAsia" w:ascii="黑体" w:hAnsi="黑体" w:eastAsia="黑体" w:cs="黑体"/>
          <w:color w:val="auto"/>
          <w:sz w:val="32"/>
          <w:szCs w:val="32"/>
        </w:rPr>
        <w:t>车辆运营管理</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outlineLvl w:val="9"/>
        <w:rPr>
          <w:rFonts w:eastAsia="方正仿宋_GBK"/>
          <w:bCs/>
          <w:color w:val="auto"/>
          <w:sz w:val="32"/>
          <w:szCs w:val="32"/>
        </w:rPr>
      </w:pPr>
      <w:r>
        <w:rPr>
          <w:rFonts w:eastAsia="方正仿宋_GBK"/>
          <w:bCs/>
          <w:color w:val="auto"/>
          <w:sz w:val="32"/>
          <w:szCs w:val="32"/>
        </w:rPr>
        <w:t>非急救转运车辆专用于</w:t>
      </w:r>
      <w:r>
        <w:rPr>
          <w:rFonts w:hint="eastAsia" w:eastAsia="方正仿宋_GBK"/>
          <w:bCs/>
          <w:color w:val="auto"/>
          <w:sz w:val="32"/>
          <w:szCs w:val="32"/>
        </w:rPr>
        <w:t>非急救转运服务范围内的</w:t>
      </w:r>
      <w:r>
        <w:rPr>
          <w:rFonts w:eastAsia="方正仿宋_GBK"/>
          <w:bCs/>
          <w:color w:val="auto"/>
          <w:sz w:val="32"/>
          <w:szCs w:val="32"/>
        </w:rPr>
        <w:t>转运工作，不得超范围从事其他任务。</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outlineLvl w:val="9"/>
        <w:rPr>
          <w:rFonts w:eastAsia="方正仿宋_GBK"/>
          <w:color w:val="auto"/>
          <w:sz w:val="32"/>
          <w:szCs w:val="32"/>
        </w:rPr>
      </w:pPr>
      <w:r>
        <w:rPr>
          <w:rFonts w:hint="eastAsia" w:eastAsia="方正仿宋_GBK"/>
          <w:bCs/>
          <w:color w:val="auto"/>
          <w:sz w:val="32"/>
          <w:szCs w:val="32"/>
        </w:rPr>
        <w:t>（一）</w:t>
      </w:r>
      <w:r>
        <w:rPr>
          <w:rFonts w:eastAsia="方正仿宋_GBK"/>
          <w:bCs/>
          <w:color w:val="auto"/>
          <w:sz w:val="32"/>
          <w:szCs w:val="32"/>
        </w:rPr>
        <w:t>从事转运经营的</w:t>
      </w:r>
      <w:r>
        <w:rPr>
          <w:rFonts w:hint="eastAsia" w:eastAsia="方正仿宋_GBK"/>
          <w:bCs/>
          <w:color w:val="auto"/>
          <w:sz w:val="32"/>
          <w:szCs w:val="32"/>
          <w:lang w:val="en-US" w:eastAsia="zh-CN"/>
        </w:rPr>
        <w:t>承运</w:t>
      </w:r>
      <w:r>
        <w:rPr>
          <w:rFonts w:eastAsia="方正仿宋_GBK"/>
          <w:bCs/>
          <w:color w:val="auto"/>
          <w:sz w:val="32"/>
          <w:szCs w:val="32"/>
        </w:rPr>
        <w:t>单位应建立相应的管理制度，包括车辆运营管理制度、人员工作职责、书面告知签字制度、车辆消毒制度</w:t>
      </w:r>
      <w:r>
        <w:rPr>
          <w:rFonts w:hint="eastAsia" w:eastAsia="方正仿宋_GBK"/>
          <w:bCs/>
          <w:color w:val="auto"/>
          <w:sz w:val="32"/>
          <w:szCs w:val="32"/>
        </w:rPr>
        <w:t>，</w:t>
      </w:r>
      <w:r>
        <w:rPr>
          <w:rFonts w:hint="eastAsia" w:eastAsia="方正仿宋_GBK"/>
          <w:color w:val="auto"/>
          <w:sz w:val="32"/>
          <w:szCs w:val="32"/>
        </w:rPr>
        <w:t>以及</w:t>
      </w:r>
      <w:r>
        <w:rPr>
          <w:rFonts w:eastAsia="方正仿宋_GBK"/>
          <w:color w:val="auto"/>
          <w:sz w:val="32"/>
          <w:szCs w:val="32"/>
        </w:rPr>
        <w:t>突发事件应对制度、预案及工作流程。</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outlineLvl w:val="9"/>
        <w:rPr>
          <w:rFonts w:eastAsia="方正仿宋_GBK"/>
          <w:color w:val="auto"/>
          <w:sz w:val="32"/>
          <w:szCs w:val="32"/>
        </w:rPr>
      </w:pPr>
      <w:r>
        <w:rPr>
          <w:rFonts w:hint="eastAsia" w:eastAsia="方正仿宋_GBK"/>
          <w:color w:val="auto"/>
          <w:sz w:val="32"/>
          <w:szCs w:val="32"/>
        </w:rPr>
        <w:t>（二）非急救</w:t>
      </w:r>
      <w:r>
        <w:rPr>
          <w:rFonts w:hint="eastAsia" w:eastAsia="方正仿宋_GBK"/>
          <w:color w:val="auto"/>
          <w:sz w:val="32"/>
          <w:szCs w:val="32"/>
          <w:lang w:eastAsia="zh-CN"/>
        </w:rPr>
        <w:t>转运</w:t>
      </w:r>
      <w:r>
        <w:rPr>
          <w:rFonts w:hint="eastAsia" w:eastAsia="方正仿宋_GBK"/>
          <w:color w:val="auto"/>
          <w:sz w:val="32"/>
          <w:szCs w:val="32"/>
        </w:rPr>
        <w:t>车辆工作</w:t>
      </w:r>
      <w:r>
        <w:rPr>
          <w:rFonts w:eastAsia="方正仿宋_GBK"/>
          <w:color w:val="auto"/>
          <w:sz w:val="32"/>
          <w:szCs w:val="32"/>
        </w:rPr>
        <w:t>人员上岗必须统一着装，佩戴工作牌，仪表端正，举止文明。规范服务行为，做好相关材料的登记、统计与保存工作。</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outlineLvl w:val="9"/>
        <w:rPr>
          <w:rFonts w:eastAsia="方正仿宋_GBK"/>
          <w:color w:val="auto"/>
          <w:sz w:val="32"/>
          <w:szCs w:val="32"/>
        </w:rPr>
      </w:pPr>
      <w:r>
        <w:rPr>
          <w:rFonts w:hint="eastAsia" w:eastAsia="方正仿宋_GBK"/>
          <w:color w:val="auto"/>
          <w:sz w:val="32"/>
          <w:szCs w:val="32"/>
        </w:rPr>
        <w:t>（三）非急救</w:t>
      </w:r>
      <w:r>
        <w:rPr>
          <w:rFonts w:hint="eastAsia" w:eastAsia="方正仿宋_GBK"/>
          <w:color w:val="auto"/>
          <w:sz w:val="32"/>
          <w:szCs w:val="32"/>
          <w:lang w:eastAsia="zh-CN"/>
        </w:rPr>
        <w:t>转运</w:t>
      </w:r>
      <w:r>
        <w:rPr>
          <w:rFonts w:hint="eastAsia" w:eastAsia="方正仿宋_GBK"/>
          <w:color w:val="auto"/>
          <w:sz w:val="32"/>
          <w:szCs w:val="32"/>
        </w:rPr>
        <w:t>车辆</w:t>
      </w:r>
      <w:r>
        <w:rPr>
          <w:rFonts w:eastAsia="方正仿宋_GBK"/>
          <w:color w:val="auto"/>
          <w:sz w:val="32"/>
          <w:szCs w:val="32"/>
        </w:rPr>
        <w:t>工作人员需严格履行岗位职责，遵守各项规章制度；认真执行各项医疗规范和技术操作规程，熟练掌握不同病种的各类搬运与照</w:t>
      </w:r>
      <w:r>
        <w:rPr>
          <w:rFonts w:hint="eastAsia" w:eastAsia="方正仿宋_GBK"/>
          <w:color w:val="auto"/>
          <w:sz w:val="32"/>
          <w:szCs w:val="32"/>
          <w:lang w:eastAsia="zh-CN"/>
        </w:rPr>
        <w:t>护</w:t>
      </w:r>
      <w:r>
        <w:rPr>
          <w:rFonts w:eastAsia="方正仿宋_GBK"/>
          <w:color w:val="auto"/>
          <w:sz w:val="32"/>
          <w:szCs w:val="32"/>
        </w:rPr>
        <w:t>技能，保障转运、搬运过程中的安全；强化服务意识，严防差错事故的发生。</w:t>
      </w:r>
    </w:p>
    <w:p>
      <w:pPr>
        <w:keepNext w:val="0"/>
        <w:keepLines w:val="0"/>
        <w:pageBreakBefore w:val="0"/>
        <w:widowControl w:val="0"/>
        <w:tabs>
          <w:tab w:val="left" w:pos="0"/>
        </w:tabs>
        <w:kinsoku/>
        <w:wordWrap/>
        <w:overflowPunct/>
        <w:topLinePunct w:val="0"/>
        <w:autoSpaceDE/>
        <w:autoSpaceDN/>
        <w:bidi w:val="0"/>
        <w:adjustRightInd/>
        <w:snapToGrid/>
        <w:spacing w:line="580" w:lineRule="exact"/>
        <w:ind w:left="0" w:firstLine="640" w:firstLineChars="200"/>
        <w:jc w:val="both"/>
        <w:textAlignment w:val="auto"/>
        <w:outlineLvl w:val="9"/>
        <w:rPr>
          <w:rFonts w:eastAsia="方正仿宋_GBK"/>
          <w:color w:val="auto"/>
          <w:sz w:val="32"/>
          <w:szCs w:val="32"/>
        </w:rPr>
      </w:pPr>
      <w:r>
        <w:rPr>
          <w:rFonts w:hint="eastAsia" w:eastAsia="方正仿宋_GBK"/>
          <w:bCs/>
          <w:color w:val="auto"/>
          <w:sz w:val="32"/>
          <w:szCs w:val="32"/>
        </w:rPr>
        <w:t>（四）</w:t>
      </w:r>
      <w:r>
        <w:rPr>
          <w:rFonts w:hint="eastAsia" w:eastAsia="方正仿宋_GBK"/>
          <w:color w:val="auto"/>
          <w:sz w:val="32"/>
          <w:szCs w:val="32"/>
        </w:rPr>
        <w:t>非急救</w:t>
      </w:r>
      <w:r>
        <w:rPr>
          <w:rFonts w:hint="eastAsia" w:eastAsia="方正仿宋_GBK"/>
          <w:color w:val="auto"/>
          <w:sz w:val="32"/>
          <w:szCs w:val="32"/>
          <w:lang w:eastAsia="zh-CN"/>
        </w:rPr>
        <w:t>转运</w:t>
      </w:r>
      <w:r>
        <w:rPr>
          <w:rFonts w:hint="eastAsia" w:eastAsia="方正仿宋_GBK"/>
          <w:color w:val="auto"/>
          <w:sz w:val="32"/>
          <w:szCs w:val="32"/>
        </w:rPr>
        <w:t>车辆完成任务</w:t>
      </w:r>
      <w:r>
        <w:rPr>
          <w:rFonts w:eastAsia="方正仿宋_GBK"/>
          <w:color w:val="auto"/>
          <w:sz w:val="32"/>
          <w:szCs w:val="32"/>
        </w:rPr>
        <w:t>后立即返回，不得私自出车。</w:t>
      </w:r>
      <w:r>
        <w:rPr>
          <w:rFonts w:eastAsia="方正仿宋_GBK"/>
          <w:bCs/>
          <w:color w:val="auto"/>
          <w:sz w:val="32"/>
          <w:szCs w:val="32"/>
        </w:rPr>
        <w:t>转运</w:t>
      </w:r>
      <w:r>
        <w:rPr>
          <w:rFonts w:eastAsia="方正仿宋_GBK"/>
          <w:color w:val="auto"/>
          <w:sz w:val="32"/>
          <w:szCs w:val="32"/>
        </w:rPr>
        <w:t>车</w:t>
      </w:r>
      <w:r>
        <w:rPr>
          <w:rFonts w:hint="eastAsia" w:eastAsia="方正仿宋_GBK"/>
          <w:color w:val="auto"/>
          <w:sz w:val="32"/>
          <w:szCs w:val="32"/>
        </w:rPr>
        <w:t>辆</w:t>
      </w:r>
      <w:r>
        <w:rPr>
          <w:rFonts w:eastAsia="方正仿宋_GBK"/>
          <w:color w:val="auto"/>
          <w:sz w:val="32"/>
          <w:szCs w:val="32"/>
        </w:rPr>
        <w:t>应停放在专用车位，保持车上通讯器材、车载GPS状况良好。不得拒绝接听或自行中断网络、车载或电话联系。车上设备、附件不得私自拆卸。</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outlineLvl w:val="9"/>
        <w:rPr>
          <w:rFonts w:eastAsia="方正仿宋_GBK"/>
          <w:bCs/>
          <w:color w:val="auto"/>
          <w:sz w:val="32"/>
          <w:szCs w:val="32"/>
        </w:rPr>
      </w:pPr>
      <w:r>
        <w:rPr>
          <w:rFonts w:hint="eastAsia" w:eastAsia="方正仿宋_GBK"/>
          <w:bCs/>
          <w:color w:val="auto"/>
          <w:sz w:val="32"/>
          <w:szCs w:val="32"/>
        </w:rPr>
        <w:t>（五）从事转运经营的</w:t>
      </w:r>
      <w:r>
        <w:rPr>
          <w:rFonts w:hint="eastAsia" w:eastAsia="方正仿宋_GBK"/>
          <w:bCs/>
          <w:color w:val="auto"/>
          <w:sz w:val="32"/>
          <w:szCs w:val="32"/>
          <w:lang w:val="en-US" w:eastAsia="zh-CN"/>
        </w:rPr>
        <w:t>承运</w:t>
      </w:r>
      <w:r>
        <w:rPr>
          <w:rFonts w:hint="eastAsia" w:eastAsia="方正仿宋_GBK"/>
          <w:bCs/>
          <w:color w:val="auto"/>
          <w:sz w:val="32"/>
          <w:szCs w:val="32"/>
        </w:rPr>
        <w:t>单位应</w:t>
      </w:r>
      <w:r>
        <w:rPr>
          <w:rFonts w:eastAsia="方正仿宋_GBK"/>
          <w:bCs/>
          <w:color w:val="auto"/>
          <w:sz w:val="32"/>
          <w:szCs w:val="32"/>
        </w:rPr>
        <w:t>详细记录转运信息，包括姓名、性别、年龄、转出医院、转入目的地、转出时间、转入时间、里程收费、联系电话、服务对象或家属签字等内容。</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outlineLvl w:val="9"/>
        <w:rPr>
          <w:rFonts w:eastAsia="方正仿宋_GBK"/>
          <w:bCs/>
          <w:color w:val="auto"/>
          <w:sz w:val="32"/>
          <w:szCs w:val="32"/>
        </w:rPr>
      </w:pPr>
      <w:r>
        <w:rPr>
          <w:rFonts w:hint="eastAsia" w:eastAsia="方正仿宋_GBK"/>
          <w:bCs/>
          <w:color w:val="auto"/>
          <w:sz w:val="32"/>
          <w:szCs w:val="32"/>
        </w:rPr>
        <w:t>（六）</w:t>
      </w:r>
      <w:r>
        <w:rPr>
          <w:rFonts w:eastAsia="方正仿宋_GBK"/>
          <w:bCs/>
          <w:color w:val="auto"/>
          <w:sz w:val="32"/>
          <w:szCs w:val="32"/>
        </w:rPr>
        <w:t>在遇突发事件时，</w:t>
      </w:r>
      <w:r>
        <w:rPr>
          <w:rFonts w:hint="eastAsia" w:eastAsia="方正仿宋_GBK"/>
          <w:bCs/>
          <w:color w:val="auto"/>
          <w:sz w:val="32"/>
          <w:szCs w:val="32"/>
        </w:rPr>
        <w:t>从事转运经营的</w:t>
      </w:r>
      <w:r>
        <w:rPr>
          <w:rFonts w:hint="eastAsia" w:eastAsia="方正仿宋_GBK"/>
          <w:bCs/>
          <w:color w:val="auto"/>
          <w:sz w:val="32"/>
          <w:szCs w:val="32"/>
          <w:lang w:val="en-US" w:eastAsia="zh-CN"/>
        </w:rPr>
        <w:t>承运</w:t>
      </w:r>
      <w:r>
        <w:rPr>
          <w:rFonts w:hint="eastAsia" w:eastAsia="方正仿宋_GBK"/>
          <w:bCs/>
          <w:color w:val="auto"/>
          <w:sz w:val="32"/>
          <w:szCs w:val="32"/>
        </w:rPr>
        <w:t>单位</w:t>
      </w:r>
      <w:r>
        <w:rPr>
          <w:rFonts w:eastAsia="方正仿宋_GBK"/>
          <w:bCs/>
          <w:color w:val="auto"/>
          <w:sz w:val="32"/>
          <w:szCs w:val="32"/>
        </w:rPr>
        <w:t>无条件接受市卫生健康行政部门、120指挥中心统一调度，配备医护人员，参与紧急医疗救援工作。</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outlineLvl w:val="9"/>
        <w:rPr>
          <w:rFonts w:eastAsia="方正仿宋_GBK"/>
          <w:bCs/>
          <w:color w:val="auto"/>
          <w:sz w:val="32"/>
          <w:szCs w:val="32"/>
        </w:rPr>
      </w:pPr>
      <w:r>
        <w:rPr>
          <w:rFonts w:hint="eastAsia" w:eastAsia="方正仿宋_GBK"/>
          <w:bCs/>
          <w:color w:val="auto"/>
          <w:sz w:val="32"/>
          <w:szCs w:val="32"/>
        </w:rPr>
        <w:t>（七）非急救</w:t>
      </w:r>
      <w:r>
        <w:rPr>
          <w:rFonts w:hint="eastAsia" w:eastAsia="方正仿宋_GBK"/>
          <w:bCs/>
          <w:color w:val="auto"/>
          <w:sz w:val="32"/>
          <w:szCs w:val="32"/>
          <w:lang w:eastAsia="zh-CN"/>
        </w:rPr>
        <w:t>转运</w:t>
      </w:r>
      <w:r>
        <w:rPr>
          <w:rFonts w:hint="eastAsia" w:eastAsia="方正仿宋_GBK"/>
          <w:bCs/>
          <w:color w:val="auto"/>
          <w:sz w:val="32"/>
          <w:szCs w:val="32"/>
        </w:rPr>
        <w:t>车辆实行服务收费公示制度，做到</w:t>
      </w:r>
      <w:bookmarkStart w:id="1" w:name="_GoBack"/>
      <w:bookmarkEnd w:id="1"/>
      <w:r>
        <w:rPr>
          <w:rFonts w:hint="eastAsia" w:eastAsia="方正仿宋_GBK"/>
          <w:bCs/>
          <w:color w:val="auto"/>
          <w:sz w:val="32"/>
          <w:szCs w:val="32"/>
        </w:rPr>
        <w:t>收费公开透明、明码标价，开展转运服务前应与服务对象签订收费标准、服务价格知情同意书，严禁中途加价。</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rPr>
        <w:t>四、</w:t>
      </w:r>
      <w:r>
        <w:rPr>
          <w:rFonts w:hint="eastAsia" w:ascii="黑体" w:hAnsi="黑体" w:eastAsia="黑体" w:cs="黑体"/>
          <w:color w:val="auto"/>
          <w:sz w:val="32"/>
          <w:szCs w:val="32"/>
          <w:lang w:eastAsia="zh-CN"/>
        </w:rPr>
        <w:t>保障措施</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outlineLvl w:val="9"/>
        <w:rPr>
          <w:rFonts w:ascii="微软雅黑" w:hAnsi="微软雅黑" w:eastAsia="微软雅黑" w:cs="微软雅黑"/>
          <w:color w:val="auto"/>
          <w:sz w:val="24"/>
        </w:rPr>
      </w:pPr>
      <w:r>
        <w:rPr>
          <w:rFonts w:hint="eastAsia" w:ascii="方正楷体_GBK" w:hAnsi="方正楷体_GBK" w:eastAsia="方正楷体_GBK" w:cs="方正楷体_GBK"/>
          <w:bCs/>
          <w:color w:val="auto"/>
          <w:sz w:val="32"/>
          <w:szCs w:val="32"/>
        </w:rPr>
        <w:t>（一）统一</w:t>
      </w:r>
      <w:r>
        <w:rPr>
          <w:rFonts w:hint="eastAsia" w:ascii="方正楷体_GBK" w:hAnsi="方正楷体_GBK" w:eastAsia="方正楷体_GBK" w:cs="方正楷体_GBK"/>
          <w:bCs/>
          <w:color w:val="auto"/>
          <w:sz w:val="32"/>
          <w:szCs w:val="32"/>
          <w:lang w:eastAsia="zh-CN"/>
        </w:rPr>
        <w:t>设立</w:t>
      </w:r>
      <w:r>
        <w:rPr>
          <w:rFonts w:hint="eastAsia" w:ascii="方正楷体_GBK" w:hAnsi="方正楷体_GBK" w:eastAsia="方正楷体_GBK" w:cs="方正楷体_GBK"/>
          <w:bCs/>
          <w:color w:val="auto"/>
          <w:sz w:val="32"/>
          <w:szCs w:val="32"/>
        </w:rPr>
        <w:t>呼叫号码</w:t>
      </w:r>
      <w:r>
        <w:rPr>
          <w:rFonts w:hint="eastAsia" w:eastAsia="方正仿宋_GBK"/>
          <w:bCs/>
          <w:color w:val="auto"/>
          <w:sz w:val="32"/>
          <w:szCs w:val="32"/>
        </w:rPr>
        <w:t>。为方便群众享受非急救转运服务</w:t>
      </w:r>
      <w:r>
        <w:rPr>
          <w:rFonts w:hint="eastAsia" w:eastAsia="方正仿宋_GBK"/>
          <w:bCs/>
          <w:color w:val="auto"/>
          <w:sz w:val="32"/>
          <w:szCs w:val="32"/>
          <w:lang w:eastAsia="zh-CN"/>
        </w:rPr>
        <w:t>，</w:t>
      </w:r>
      <w:r>
        <w:rPr>
          <w:rFonts w:hint="eastAsia" w:eastAsia="方正仿宋_GBK"/>
          <w:bCs/>
          <w:color w:val="auto"/>
          <w:sz w:val="32"/>
          <w:szCs w:val="32"/>
        </w:rPr>
        <w:t>避免挤占“120”特服号码，将非急救转运</w:t>
      </w:r>
      <w:r>
        <w:rPr>
          <w:rFonts w:hint="eastAsia" w:eastAsia="方正仿宋_GBK"/>
          <w:bCs/>
          <w:color w:val="auto"/>
          <w:sz w:val="32"/>
          <w:szCs w:val="32"/>
          <w:lang w:val="en-US" w:eastAsia="zh-CN"/>
        </w:rPr>
        <w:t>承运单位</w:t>
      </w:r>
      <w:r>
        <w:rPr>
          <w:rFonts w:hint="eastAsia" w:eastAsia="方正仿宋_GBK"/>
          <w:bCs/>
          <w:color w:val="auto"/>
          <w:sz w:val="32"/>
          <w:szCs w:val="32"/>
        </w:rPr>
        <w:t>纳入我市120急救指挥中心监管，由120指挥中心建立独立的非急救转运调度信息化平台，将所有非急救转运车辆纳入平台系统进行统一指挥调度，通过信息化平台与非急救转运</w:t>
      </w:r>
      <w:r>
        <w:rPr>
          <w:rFonts w:hint="eastAsia" w:eastAsia="方正仿宋_GBK"/>
          <w:bCs/>
          <w:color w:val="auto"/>
          <w:sz w:val="32"/>
          <w:szCs w:val="32"/>
          <w:lang w:val="en-US" w:eastAsia="zh-CN"/>
        </w:rPr>
        <w:t>承运单位</w:t>
      </w:r>
      <w:r>
        <w:rPr>
          <w:rFonts w:hint="eastAsia" w:eastAsia="方正仿宋_GBK"/>
          <w:bCs/>
          <w:color w:val="auto"/>
          <w:sz w:val="32"/>
          <w:szCs w:val="32"/>
        </w:rPr>
        <w:t>实时信息交互，建立相应的规章制度、工作流程和回访制度，动态跟踪管理。统一市内非院前急救转运服务号码，并向全社会公布，让群众知晓，使院前急救、非急救转运分开呼叫、分类管理，确保两类服务有序运行。</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outlineLvl w:val="9"/>
        <w:rPr>
          <w:rFonts w:eastAsia="方正仿宋_GBK"/>
          <w:bCs/>
          <w:color w:val="auto"/>
          <w:sz w:val="32"/>
          <w:szCs w:val="32"/>
        </w:rPr>
      </w:pPr>
      <w:r>
        <w:rPr>
          <w:rFonts w:hint="eastAsia" w:ascii="方正楷体_GBK" w:hAnsi="方正楷体_GBK" w:eastAsia="方正楷体_GBK" w:cs="方正楷体_GBK"/>
          <w:bCs/>
          <w:color w:val="auto"/>
          <w:sz w:val="32"/>
          <w:szCs w:val="32"/>
        </w:rPr>
        <w:t>（二）保障非急救转运安全。</w:t>
      </w:r>
      <w:r>
        <w:rPr>
          <w:rFonts w:hint="eastAsia" w:eastAsia="方正仿宋_GBK"/>
          <w:bCs/>
          <w:color w:val="auto"/>
          <w:sz w:val="32"/>
          <w:szCs w:val="32"/>
        </w:rPr>
        <w:t>各承运单位应牢固树立安全第一的意识，督促驾驶员加强车辆日常维护与保养，严格遵守交通规则和交通秩序，确保交通安全</w:t>
      </w:r>
      <w:r>
        <w:rPr>
          <w:rFonts w:hint="eastAsia" w:eastAsia="方正仿宋_GBK"/>
          <w:bCs/>
          <w:color w:val="auto"/>
          <w:sz w:val="32"/>
          <w:szCs w:val="32"/>
          <w:lang w:eastAsia="zh-CN"/>
        </w:rPr>
        <w:t>；</w:t>
      </w:r>
      <w:r>
        <w:rPr>
          <w:rFonts w:hint="eastAsia" w:eastAsia="方正仿宋_GBK"/>
          <w:bCs/>
          <w:color w:val="auto"/>
          <w:sz w:val="32"/>
          <w:szCs w:val="32"/>
        </w:rPr>
        <w:t>要积极组织参加非急救转运服务的工作人员参加卫生健康行政部门开展的急救常识、伤病员搬运常识、突发事件的应对程序等知识、技能培训，使工作人员具备基本的现场规范处置能力</w:t>
      </w:r>
      <w:r>
        <w:rPr>
          <w:rFonts w:hint="eastAsia" w:eastAsia="方正仿宋_GBK"/>
          <w:bCs/>
          <w:color w:val="auto"/>
          <w:sz w:val="32"/>
          <w:szCs w:val="32"/>
          <w:lang w:eastAsia="zh-CN"/>
        </w:rPr>
        <w:t>；</w:t>
      </w:r>
      <w:r>
        <w:rPr>
          <w:rFonts w:hint="eastAsia" w:eastAsia="方正仿宋_GBK"/>
          <w:bCs/>
          <w:color w:val="auto"/>
          <w:sz w:val="32"/>
          <w:szCs w:val="32"/>
        </w:rPr>
        <w:t>要与医疗机构建立联系协作机制，一旦转运的患者出现病情变化，第一时间得到医疗机构专业指导，并就近转送医疗机构救治。市县两级卫生健康行政部门要加强对承运单位的业务指导，确保非急救转运的医疗安全。</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outlineLvl w:val="9"/>
        <w:rPr>
          <w:rFonts w:eastAsia="方正仿宋_GBK"/>
          <w:bCs/>
          <w:color w:val="auto"/>
          <w:sz w:val="32"/>
          <w:szCs w:val="32"/>
        </w:rPr>
      </w:pPr>
      <w:r>
        <w:rPr>
          <w:rFonts w:hint="eastAsia" w:ascii="方正楷体_GBK" w:hAnsi="方正楷体_GBK" w:eastAsia="方正楷体_GBK" w:cs="方正楷体_GBK"/>
          <w:bCs/>
          <w:color w:val="auto"/>
          <w:sz w:val="32"/>
          <w:szCs w:val="32"/>
        </w:rPr>
        <w:t>（三）加强院内外合作。</w:t>
      </w:r>
      <w:r>
        <w:rPr>
          <w:rFonts w:hint="eastAsia" w:eastAsia="方正仿宋_GBK"/>
          <w:bCs/>
          <w:color w:val="auto"/>
          <w:sz w:val="32"/>
          <w:szCs w:val="32"/>
        </w:rPr>
        <w:t>各医疗机构要严格执行医院进出许可制度，对正规的非急救转运车辆予以通行便利。对未备案、故意不按规定标识、喷涂，以逃避监管的</w:t>
      </w:r>
      <w:r>
        <w:rPr>
          <w:rFonts w:hint="eastAsia" w:eastAsia="方正仿宋_GBK"/>
          <w:bCs/>
          <w:color w:val="auto"/>
          <w:sz w:val="32"/>
          <w:szCs w:val="32"/>
          <w:lang w:eastAsia="zh-CN"/>
        </w:rPr>
        <w:t>非急救转运异常车辆</w:t>
      </w:r>
      <w:r>
        <w:rPr>
          <w:rFonts w:hint="eastAsia" w:eastAsia="方正仿宋_GBK"/>
          <w:bCs/>
          <w:color w:val="auto"/>
          <w:sz w:val="32"/>
          <w:szCs w:val="32"/>
        </w:rPr>
        <w:t>，不予进入医院。各医疗机构可在院内、相关科室护士站张贴、摆放正规非急救转运服务</w:t>
      </w:r>
      <w:r>
        <w:rPr>
          <w:rFonts w:hint="eastAsia" w:eastAsia="方正仿宋_GBK"/>
          <w:bCs/>
          <w:color w:val="auto"/>
          <w:sz w:val="32"/>
          <w:szCs w:val="32"/>
          <w:lang w:val="en-US" w:eastAsia="zh-CN"/>
        </w:rPr>
        <w:t>承运</w:t>
      </w:r>
      <w:r>
        <w:rPr>
          <w:rFonts w:hint="eastAsia" w:eastAsia="方正仿宋_GBK"/>
          <w:bCs/>
          <w:color w:val="auto"/>
          <w:sz w:val="32"/>
          <w:szCs w:val="32"/>
        </w:rPr>
        <w:t>单位的信息卡片，便于患方及时了解、联络</w:t>
      </w:r>
      <w:r>
        <w:rPr>
          <w:rFonts w:hint="eastAsia" w:eastAsia="方正仿宋_GBK"/>
          <w:bCs/>
          <w:color w:val="auto"/>
          <w:sz w:val="32"/>
          <w:szCs w:val="32"/>
          <w:lang w:eastAsia="zh-CN"/>
        </w:rPr>
        <w:t>；</w:t>
      </w:r>
      <w:r>
        <w:rPr>
          <w:rFonts w:hint="eastAsia" w:eastAsia="方正仿宋_GBK"/>
          <w:bCs/>
          <w:color w:val="auto"/>
          <w:sz w:val="32"/>
          <w:szCs w:val="32"/>
        </w:rPr>
        <w:t>对于患方的服务需求咨询，应及时告知相关信息，并由患方自行与正规承运单位联系。各医疗机构应支持、配合正规非急救转运服务的宣传推广工作。</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outlineLvl w:val="9"/>
        <w:rPr>
          <w:rFonts w:eastAsia="方正仿宋_GBK"/>
          <w:bCs/>
          <w:color w:val="auto"/>
          <w:sz w:val="32"/>
          <w:szCs w:val="32"/>
        </w:rPr>
      </w:pPr>
      <w:r>
        <w:rPr>
          <w:rFonts w:hint="eastAsia" w:ascii="方正楷体_GBK" w:hAnsi="方正楷体_GBK" w:eastAsia="方正楷体_GBK" w:cs="方正楷体_GBK"/>
          <w:bCs/>
          <w:color w:val="auto"/>
          <w:sz w:val="32"/>
          <w:szCs w:val="32"/>
        </w:rPr>
        <w:t>（四）加强日常管理。</w:t>
      </w:r>
      <w:r>
        <w:rPr>
          <w:rFonts w:eastAsia="方正仿宋_GBK"/>
          <w:bCs/>
          <w:color w:val="auto"/>
          <w:sz w:val="32"/>
          <w:szCs w:val="32"/>
        </w:rPr>
        <w:t>各医疗机构应加强日常管理，</w:t>
      </w:r>
      <w:r>
        <w:rPr>
          <w:rFonts w:hint="eastAsia" w:eastAsia="方正仿宋_GBK"/>
          <w:bCs/>
          <w:color w:val="auto"/>
          <w:sz w:val="32"/>
          <w:szCs w:val="32"/>
        </w:rPr>
        <w:t>建立长期性、常态化管理机制，</w:t>
      </w:r>
      <w:r>
        <w:rPr>
          <w:rFonts w:eastAsia="方正仿宋_GBK"/>
          <w:bCs/>
          <w:color w:val="auto"/>
          <w:sz w:val="32"/>
          <w:szCs w:val="32"/>
        </w:rPr>
        <w:t>禁止任何</w:t>
      </w:r>
      <w:r>
        <w:rPr>
          <w:rFonts w:hint="eastAsia" w:eastAsia="方正仿宋_GBK"/>
          <w:bCs/>
          <w:color w:val="auto"/>
          <w:sz w:val="32"/>
          <w:szCs w:val="32"/>
          <w:lang w:eastAsia="zh-CN"/>
        </w:rPr>
        <w:t>非急救转运异常车辆</w:t>
      </w:r>
      <w:r>
        <w:rPr>
          <w:rFonts w:eastAsia="方正仿宋_GBK"/>
          <w:bCs/>
          <w:color w:val="auto"/>
          <w:sz w:val="32"/>
          <w:szCs w:val="32"/>
        </w:rPr>
        <w:t>进出医院擅自从事未经相关行政管理部门许可的非急救转运工作，及时清理</w:t>
      </w:r>
      <w:r>
        <w:rPr>
          <w:rFonts w:hint="eastAsia" w:eastAsia="方正仿宋_GBK"/>
          <w:bCs/>
          <w:color w:val="auto"/>
          <w:sz w:val="32"/>
          <w:szCs w:val="32"/>
          <w:lang w:eastAsia="zh-CN"/>
        </w:rPr>
        <w:t>非急救转运异常车辆发放的名片等</w:t>
      </w:r>
      <w:r>
        <w:rPr>
          <w:rFonts w:eastAsia="方正仿宋_GBK"/>
          <w:bCs/>
          <w:color w:val="auto"/>
          <w:sz w:val="32"/>
          <w:szCs w:val="32"/>
        </w:rPr>
        <w:t>宣传材料，及时关注、收集、提供</w:t>
      </w:r>
      <w:r>
        <w:rPr>
          <w:rFonts w:hint="eastAsia" w:eastAsia="方正仿宋_GBK"/>
          <w:bCs/>
          <w:color w:val="auto"/>
          <w:sz w:val="32"/>
          <w:szCs w:val="32"/>
          <w:lang w:eastAsia="zh-CN"/>
        </w:rPr>
        <w:t>非急救转运异常车辆</w:t>
      </w:r>
      <w:r>
        <w:rPr>
          <w:rFonts w:eastAsia="方正仿宋_GBK"/>
          <w:bCs/>
          <w:color w:val="auto"/>
          <w:sz w:val="32"/>
          <w:szCs w:val="32"/>
        </w:rPr>
        <w:t>的有关信息，并通报有关行政管理部门清理、整治，严禁医疗机构任何工作人员以及其第三方服务机构的保安、护工、保洁等任何人员参与</w:t>
      </w:r>
      <w:r>
        <w:rPr>
          <w:rFonts w:hint="eastAsia" w:eastAsia="方正仿宋_GBK"/>
          <w:bCs/>
          <w:color w:val="auto"/>
          <w:sz w:val="32"/>
          <w:szCs w:val="32"/>
          <w:lang w:eastAsia="zh-CN"/>
        </w:rPr>
        <w:t>非急救转运异常车辆</w:t>
      </w:r>
      <w:r>
        <w:rPr>
          <w:rFonts w:eastAsia="方正仿宋_GBK"/>
          <w:bCs/>
          <w:color w:val="auto"/>
          <w:sz w:val="32"/>
          <w:szCs w:val="32"/>
        </w:rPr>
        <w:t>转运业务，如发现并查实，各医疗机构务必依据相关规定严肃处理。对管理不善的医疗机构，各</w:t>
      </w:r>
      <w:r>
        <w:rPr>
          <w:rFonts w:hint="eastAsia" w:eastAsia="方正仿宋_GBK"/>
          <w:bCs/>
          <w:color w:val="auto"/>
          <w:sz w:val="32"/>
          <w:szCs w:val="32"/>
        </w:rPr>
        <w:t>地</w:t>
      </w:r>
      <w:r>
        <w:rPr>
          <w:rFonts w:eastAsia="方正仿宋_GBK"/>
          <w:bCs/>
          <w:color w:val="auto"/>
          <w:sz w:val="32"/>
          <w:szCs w:val="32"/>
        </w:rPr>
        <w:t>要严肃追究医疗机构负责人的责任。</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outlineLvl w:val="9"/>
        <w:rPr>
          <w:rFonts w:ascii="黑体" w:hAnsi="黑体" w:eastAsia="黑体" w:cs="黑体"/>
          <w:color w:val="auto"/>
          <w:sz w:val="32"/>
          <w:szCs w:val="32"/>
        </w:rPr>
      </w:pPr>
      <w:r>
        <w:rPr>
          <w:rFonts w:hint="eastAsia" w:ascii="黑体" w:hAnsi="黑体" w:eastAsia="黑体" w:cs="黑体"/>
          <w:color w:val="auto"/>
          <w:sz w:val="32"/>
          <w:szCs w:val="32"/>
        </w:rPr>
        <w:t>五、组织实施</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outlineLvl w:val="9"/>
        <w:rPr>
          <w:rFonts w:eastAsia="方正仿宋_GBK"/>
          <w:bCs/>
          <w:color w:val="auto"/>
          <w:sz w:val="32"/>
          <w:szCs w:val="32"/>
        </w:rPr>
      </w:pPr>
      <w:r>
        <w:rPr>
          <w:rFonts w:hint="eastAsia" w:ascii="方正楷体_GBK" w:hAnsi="方正楷体_GBK" w:eastAsia="方正楷体_GBK" w:cs="方正楷体_GBK"/>
          <w:bCs/>
          <w:color w:val="auto"/>
          <w:sz w:val="32"/>
          <w:szCs w:val="32"/>
        </w:rPr>
        <w:t>（一）加强组织领导。</w:t>
      </w:r>
      <w:r>
        <w:rPr>
          <w:rFonts w:hint="eastAsia" w:eastAsia="方正仿宋_GBK"/>
          <w:bCs/>
          <w:color w:val="auto"/>
          <w:sz w:val="32"/>
          <w:szCs w:val="32"/>
        </w:rPr>
        <w:t>各级有关部门要从坚持以人民为中心的思想高度，提高政治站位，充分认识非急救</w:t>
      </w:r>
      <w:r>
        <w:rPr>
          <w:rFonts w:hint="eastAsia" w:eastAsia="方正仿宋_GBK"/>
          <w:bCs/>
          <w:color w:val="auto"/>
          <w:sz w:val="32"/>
          <w:szCs w:val="32"/>
          <w:lang w:eastAsia="zh-CN"/>
        </w:rPr>
        <w:t>转运</w:t>
      </w:r>
      <w:r>
        <w:rPr>
          <w:rFonts w:hint="eastAsia" w:eastAsia="方正仿宋_GBK"/>
          <w:bCs/>
          <w:color w:val="auto"/>
          <w:sz w:val="32"/>
          <w:szCs w:val="32"/>
        </w:rPr>
        <w:t>车辆管理的重要性，把此项工作摆上重要议事日程，切实加强组织领导，明确责任分工，完善政策措施，积极稳步推进，确保目标实现。</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outlineLvl w:val="9"/>
        <w:rPr>
          <w:rFonts w:eastAsia="方正仿宋_GBK"/>
          <w:bCs/>
          <w:color w:val="auto"/>
          <w:sz w:val="32"/>
          <w:szCs w:val="32"/>
        </w:rPr>
      </w:pPr>
      <w:r>
        <w:rPr>
          <w:rFonts w:hint="eastAsia" w:ascii="方正楷体_GBK" w:hAnsi="方正楷体_GBK" w:eastAsia="方正楷体_GBK" w:cs="方正楷体_GBK"/>
          <w:bCs/>
          <w:color w:val="auto"/>
          <w:sz w:val="32"/>
          <w:szCs w:val="32"/>
        </w:rPr>
        <w:t>（二）</w:t>
      </w:r>
      <w:r>
        <w:rPr>
          <w:rFonts w:hint="eastAsia" w:ascii="方正楷体_GBK" w:hAnsi="方正楷体_GBK" w:eastAsia="方正楷体_GBK" w:cs="方正楷体_GBK"/>
          <w:bCs/>
          <w:color w:val="auto"/>
          <w:sz w:val="32"/>
          <w:szCs w:val="32"/>
          <w:lang w:eastAsia="zh-CN"/>
        </w:rPr>
        <w:t>加强</w:t>
      </w:r>
      <w:r>
        <w:rPr>
          <w:rFonts w:hint="eastAsia" w:ascii="方正楷体_GBK" w:hAnsi="方正楷体_GBK" w:eastAsia="方正楷体_GBK" w:cs="方正楷体_GBK"/>
          <w:bCs/>
          <w:color w:val="auto"/>
          <w:sz w:val="32"/>
          <w:szCs w:val="32"/>
        </w:rPr>
        <w:t>部门</w:t>
      </w:r>
      <w:r>
        <w:rPr>
          <w:rFonts w:hint="eastAsia" w:ascii="方正楷体_GBK" w:hAnsi="方正楷体_GBK" w:eastAsia="方正楷体_GBK" w:cs="方正楷体_GBK"/>
          <w:bCs/>
          <w:color w:val="auto"/>
          <w:sz w:val="32"/>
          <w:szCs w:val="32"/>
          <w:lang w:eastAsia="zh-CN"/>
        </w:rPr>
        <w:t>协助</w:t>
      </w:r>
      <w:r>
        <w:rPr>
          <w:rFonts w:hint="eastAsia" w:ascii="方正楷体_GBK" w:hAnsi="方正楷体_GBK" w:eastAsia="方正楷体_GBK" w:cs="方正楷体_GBK"/>
          <w:bCs/>
          <w:color w:val="auto"/>
          <w:sz w:val="32"/>
          <w:szCs w:val="32"/>
        </w:rPr>
        <w:t>。</w:t>
      </w:r>
      <w:r>
        <w:rPr>
          <w:rFonts w:hint="eastAsia" w:eastAsia="方正仿宋_GBK"/>
          <w:bCs/>
          <w:color w:val="auto"/>
          <w:sz w:val="32"/>
          <w:szCs w:val="32"/>
        </w:rPr>
        <w:t>卫生健康、公安、交通运输、市场监管等行政部门要按照各自职责落实好非急救救护车辆管理的各项工作，形成齐抓共管的工作局面。</w:t>
      </w:r>
      <w:r>
        <w:rPr>
          <w:rFonts w:hint="eastAsia" w:eastAsia="方正仿宋_GBK"/>
          <w:color w:val="auto"/>
          <w:sz w:val="32"/>
          <w:szCs w:val="32"/>
        </w:rPr>
        <w:t>卫生健康部门主要负责对医疗机构加强管理，对已备案非急救转运车辆的考核和管理，负责和外地牌照救护车户籍地卫健部门的沟通核查；急救中心负责对非急救转运工作人员进行急救知识和急救技能培训，对转运服务</w:t>
      </w:r>
      <w:r>
        <w:rPr>
          <w:rFonts w:hint="eastAsia" w:eastAsia="方正仿宋_GBK"/>
          <w:color w:val="auto"/>
          <w:sz w:val="32"/>
          <w:szCs w:val="32"/>
          <w:lang w:val="en-US" w:eastAsia="zh-CN"/>
        </w:rPr>
        <w:t>承运单位</w:t>
      </w:r>
      <w:r>
        <w:rPr>
          <w:rFonts w:hint="eastAsia" w:eastAsia="方正仿宋_GBK"/>
          <w:color w:val="auto"/>
          <w:sz w:val="32"/>
          <w:szCs w:val="32"/>
        </w:rPr>
        <w:t>的业务指导，牵头做好年度考核工作</w:t>
      </w:r>
      <w:r>
        <w:rPr>
          <w:rFonts w:hint="eastAsia" w:ascii="仿宋_GB2312" w:hAnsi="仿宋" w:eastAsia="仿宋_GB2312" w:cs="仿宋_GB2312"/>
          <w:color w:val="auto"/>
          <w:sz w:val="32"/>
          <w:szCs w:val="32"/>
        </w:rPr>
        <w:t>；</w:t>
      </w:r>
      <w:r>
        <w:rPr>
          <w:rFonts w:hint="eastAsia" w:eastAsia="方正仿宋_GBK"/>
          <w:bCs/>
          <w:color w:val="auto"/>
          <w:sz w:val="32"/>
          <w:szCs w:val="32"/>
        </w:rPr>
        <w:t>医疗机构为非急救转运业务提供停车等便利条件；交通运输部门负责及时公布运输企业信用评价结果，供卫生健康部门择优选择；公安部门对非急救转运车辆实行登记注册、使用性质变更登记</w:t>
      </w:r>
      <w:r>
        <w:rPr>
          <w:rFonts w:hint="eastAsia" w:eastAsia="方正仿宋_GBK"/>
          <w:bCs/>
          <w:color w:val="auto"/>
          <w:sz w:val="32"/>
          <w:szCs w:val="32"/>
          <w:lang w:eastAsia="zh-CN"/>
        </w:rPr>
        <w:t>，</w:t>
      </w:r>
      <w:r>
        <w:rPr>
          <w:rFonts w:hint="eastAsia" w:eastAsia="方正仿宋_GBK"/>
          <w:color w:val="auto"/>
          <w:sz w:val="32"/>
          <w:szCs w:val="32"/>
        </w:rPr>
        <w:t>依法查处非法安装使用警灯警报器、非法改装车辆、违法停车等交通安全违法行为，依法实施转运车辆道路通行秩序交通安全监督检查</w:t>
      </w:r>
      <w:r>
        <w:rPr>
          <w:rFonts w:hint="eastAsia" w:eastAsia="方正仿宋_GBK"/>
          <w:bCs/>
          <w:color w:val="auto"/>
          <w:sz w:val="32"/>
          <w:szCs w:val="32"/>
        </w:rPr>
        <w:t>；市场监管部门依托国家企业信用信息公示系统公示非急救转运企业的注册登记信息和信用信息，查处非急救转运调度信息化平台外非法经营的非急救转运行为。</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outlineLvl w:val="9"/>
        <w:rPr>
          <w:rFonts w:eastAsia="方正仿宋_GBK"/>
          <w:bCs/>
          <w:color w:val="auto"/>
          <w:sz w:val="32"/>
          <w:szCs w:val="32"/>
        </w:rPr>
      </w:pPr>
      <w:r>
        <w:rPr>
          <w:rFonts w:hint="eastAsia" w:ascii="方正楷体_GBK" w:hAnsi="方正楷体_GBK" w:eastAsia="方正楷体_GBK" w:cs="方正楷体_GBK"/>
          <w:bCs/>
          <w:color w:val="auto"/>
          <w:sz w:val="32"/>
          <w:szCs w:val="32"/>
        </w:rPr>
        <w:t>（三）强化服务监管。</w:t>
      </w:r>
      <w:r>
        <w:rPr>
          <w:rFonts w:hint="eastAsia" w:eastAsia="方正仿宋_GBK"/>
          <w:bCs/>
          <w:color w:val="auto"/>
          <w:sz w:val="32"/>
          <w:szCs w:val="32"/>
        </w:rPr>
        <w:t>卫生健康、公安、交通运输、市场监管等部门在各自职责范围内履行监管责任，</w:t>
      </w:r>
      <w:r>
        <w:rPr>
          <w:rFonts w:hint="eastAsia" w:eastAsia="方正仿宋_GBK"/>
          <w:bCs/>
          <w:color w:val="auto"/>
          <w:sz w:val="32"/>
          <w:szCs w:val="32"/>
          <w:lang w:val="en-US" w:eastAsia="zh-CN"/>
        </w:rPr>
        <w:t>引导非急救转运承运单位加强全过程自律，公开服务内容、价格等服务信息，开展督导检查，依法严厉打击违法违规经营、敲诈勒索、乱收费用、违反交通法规和秩序等损害人民群众切身利益的行为，规范非急救转运服务行为。</w:t>
      </w:r>
      <w:r>
        <w:rPr>
          <w:rFonts w:hint="eastAsia" w:eastAsia="方正仿宋_GBK"/>
          <w:bCs/>
          <w:color w:val="auto"/>
          <w:sz w:val="32"/>
          <w:szCs w:val="32"/>
        </w:rPr>
        <w:t>对存在严重违规情形的，纳入单位和相关人员的信用记录，通过企业信用信息公示系统向社会公示，建立“黑名单”制度和退出机制</w:t>
      </w:r>
      <w:r>
        <w:rPr>
          <w:rFonts w:hint="eastAsia" w:eastAsia="方正仿宋_GBK"/>
          <w:bCs/>
          <w:color w:val="auto"/>
          <w:sz w:val="32"/>
          <w:szCs w:val="32"/>
          <w:lang w:eastAsia="zh-CN"/>
        </w:rPr>
        <w:t>；对</w:t>
      </w:r>
      <w:r>
        <w:rPr>
          <w:rFonts w:hint="eastAsia" w:eastAsia="方正仿宋_GBK"/>
          <w:bCs/>
          <w:color w:val="auto"/>
          <w:sz w:val="32"/>
          <w:szCs w:val="32"/>
        </w:rPr>
        <w:t>非急救转运</w:t>
      </w:r>
      <w:r>
        <w:rPr>
          <w:rFonts w:hint="eastAsia" w:eastAsia="方正仿宋_GBK"/>
          <w:bCs/>
          <w:color w:val="auto"/>
          <w:sz w:val="32"/>
          <w:szCs w:val="32"/>
          <w:lang w:val="en-US" w:eastAsia="zh-CN"/>
        </w:rPr>
        <w:t>承运单位</w:t>
      </w:r>
      <w:r>
        <w:rPr>
          <w:rFonts w:hint="eastAsia" w:eastAsia="方正仿宋_GBK"/>
          <w:bCs/>
          <w:color w:val="auto"/>
          <w:sz w:val="32"/>
          <w:szCs w:val="32"/>
        </w:rPr>
        <w:t>年度考核成绩不合格者</w:t>
      </w:r>
      <w:r>
        <w:rPr>
          <w:rFonts w:hint="eastAsia" w:eastAsia="方正仿宋_GBK"/>
          <w:color w:val="auto"/>
          <w:sz w:val="32"/>
          <w:szCs w:val="32"/>
        </w:rPr>
        <w:t>，责令限期整改</w:t>
      </w:r>
      <w:r>
        <w:rPr>
          <w:rFonts w:hint="eastAsia" w:eastAsia="方正仿宋_GBK"/>
          <w:color w:val="auto"/>
          <w:sz w:val="32"/>
          <w:szCs w:val="32"/>
          <w:lang w:eastAsia="zh-CN"/>
        </w:rPr>
        <w:t>，</w:t>
      </w:r>
      <w:r>
        <w:rPr>
          <w:rFonts w:hint="eastAsia" w:eastAsia="方正仿宋_GBK"/>
          <w:color w:val="auto"/>
          <w:sz w:val="32"/>
          <w:szCs w:val="32"/>
        </w:rPr>
        <w:t>连续两年考核不合格，或出现严重违纪违规现象的暂停其服务工作或撤销</w:t>
      </w:r>
      <w:r>
        <w:rPr>
          <w:rFonts w:hint="eastAsia" w:eastAsia="方正仿宋_GBK"/>
          <w:color w:val="auto"/>
          <w:sz w:val="32"/>
          <w:szCs w:val="32"/>
          <w:lang w:val="en-US" w:eastAsia="zh-CN"/>
        </w:rPr>
        <w:t>资格</w:t>
      </w:r>
      <w:r>
        <w:rPr>
          <w:rFonts w:hint="eastAsia" w:eastAsia="方正仿宋_GBK"/>
          <w:color w:val="auto"/>
          <w:sz w:val="32"/>
          <w:szCs w:val="32"/>
        </w:rPr>
        <w:t>；对于企业整体申请撤出的，注销其非急救转运</w:t>
      </w:r>
      <w:r>
        <w:rPr>
          <w:rFonts w:hint="eastAsia" w:eastAsia="方正仿宋_GBK"/>
          <w:color w:val="auto"/>
          <w:sz w:val="32"/>
          <w:szCs w:val="32"/>
          <w:lang w:val="en-US" w:eastAsia="zh-CN"/>
        </w:rPr>
        <w:t>承运资格</w:t>
      </w:r>
      <w:r>
        <w:rPr>
          <w:rFonts w:hint="eastAsia" w:eastAsia="方正仿宋_GBK"/>
          <w:color w:val="auto"/>
          <w:sz w:val="32"/>
          <w:szCs w:val="32"/>
        </w:rPr>
        <w:t>，并更改车辆外观；对于个别车辆报废或变更用途的，注销车辆非急救转运编号以及更改车辆外观。</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outlineLvl w:val="9"/>
        <w:rPr>
          <w:rFonts w:eastAsia="方正仿宋_GBK"/>
          <w:bCs/>
          <w:sz w:val="32"/>
          <w:szCs w:val="32"/>
        </w:rPr>
      </w:pPr>
      <w:r>
        <w:rPr>
          <w:rFonts w:hint="eastAsia" w:ascii="方正楷体_GBK" w:hAnsi="方正楷体_GBK" w:eastAsia="方正楷体_GBK" w:cs="方正楷体_GBK"/>
          <w:bCs/>
          <w:color w:val="auto"/>
          <w:sz w:val="32"/>
          <w:szCs w:val="32"/>
        </w:rPr>
        <w:t>（四）注重宣传引导。</w:t>
      </w:r>
      <w:r>
        <w:rPr>
          <w:rFonts w:hint="eastAsia" w:eastAsia="方正仿宋_GBK"/>
          <w:bCs/>
          <w:color w:val="auto"/>
          <w:sz w:val="32"/>
          <w:szCs w:val="32"/>
        </w:rPr>
        <w:t>通过广播、电视、报纸、微信等各类媒体，宣传院前急救医疗服务、非急救转运服务分类管理的政策规定，让广大群众充分了解非急救转运的服务范围、服务单位、服务项目、服务价格、呼叫号码等，引导广大群众选择正规非急救转运车辆承运，消除</w:t>
      </w:r>
      <w:r>
        <w:rPr>
          <w:rFonts w:hint="eastAsia" w:eastAsia="方正仿宋_GBK"/>
          <w:bCs/>
          <w:color w:val="auto"/>
          <w:sz w:val="32"/>
          <w:szCs w:val="32"/>
          <w:lang w:eastAsia="zh-CN"/>
        </w:rPr>
        <w:t>安全隐患</w:t>
      </w:r>
      <w:r>
        <w:rPr>
          <w:rFonts w:hint="eastAsia" w:eastAsia="方正仿宋_GBK"/>
          <w:bCs/>
          <w:color w:val="auto"/>
          <w:sz w:val="32"/>
          <w:szCs w:val="32"/>
        </w:rPr>
        <w:t>，维护、保障自身生命安全、财产权益，为规范非急救转运服务营造良</w:t>
      </w:r>
      <w:r>
        <w:rPr>
          <w:rFonts w:hint="eastAsia" w:eastAsia="方正仿宋_GBK"/>
          <w:bCs/>
          <w:sz w:val="32"/>
          <w:szCs w:val="32"/>
        </w:rPr>
        <w:t>好的外部环境。</w:t>
      </w:r>
    </w:p>
    <w:p>
      <w:pPr>
        <w:jc w:val="center"/>
        <w:rPr>
          <w:rFonts w:hint="eastAsia" w:eastAsia="方正小标宋_GBK" w:cs="方正小标宋_GBK"/>
          <w:snapToGrid w:val="0"/>
          <w:sz w:val="36"/>
          <w:szCs w:val="36"/>
          <w:lang w:bidi="ar"/>
        </w:rPr>
      </w:pPr>
    </w:p>
    <w:p>
      <w:pPr>
        <w:jc w:val="center"/>
        <w:rPr>
          <w:rFonts w:hint="eastAsia" w:eastAsia="方正小标宋_GBK" w:cs="方正小标宋_GBK"/>
          <w:snapToGrid w:val="0"/>
          <w:sz w:val="36"/>
          <w:szCs w:val="36"/>
          <w:lang w:bidi="ar"/>
        </w:rPr>
      </w:pPr>
    </w:p>
    <w:p>
      <w:pPr>
        <w:jc w:val="center"/>
        <w:rPr>
          <w:rFonts w:hint="eastAsia" w:eastAsia="方正小标宋_GBK" w:cs="方正小标宋_GBK"/>
          <w:snapToGrid w:val="0"/>
          <w:sz w:val="36"/>
          <w:szCs w:val="36"/>
          <w:lang w:bidi="ar"/>
        </w:rPr>
      </w:pPr>
    </w:p>
    <w:p>
      <w:pPr>
        <w:jc w:val="center"/>
        <w:rPr>
          <w:rFonts w:hint="eastAsia" w:eastAsia="方正小标宋_GBK" w:cs="方正小标宋_GBK"/>
          <w:snapToGrid w:val="0"/>
          <w:sz w:val="36"/>
          <w:szCs w:val="36"/>
          <w:lang w:bidi="ar"/>
        </w:rPr>
      </w:pPr>
    </w:p>
    <w:p>
      <w:pPr>
        <w:jc w:val="center"/>
        <w:rPr>
          <w:rFonts w:hint="eastAsia" w:eastAsia="方正小标宋_GBK" w:cs="方正小标宋_GBK"/>
          <w:snapToGrid w:val="0"/>
          <w:sz w:val="36"/>
          <w:szCs w:val="36"/>
          <w:lang w:bidi="ar"/>
        </w:rPr>
      </w:pPr>
    </w:p>
    <w:p>
      <w:pPr>
        <w:jc w:val="center"/>
        <w:rPr>
          <w:rFonts w:hint="eastAsia" w:eastAsia="方正小标宋_GBK" w:cs="方正小标宋_GBK"/>
          <w:snapToGrid w:val="0"/>
          <w:sz w:val="36"/>
          <w:szCs w:val="36"/>
          <w:lang w:bidi="ar"/>
        </w:rPr>
      </w:pPr>
    </w:p>
    <w:p>
      <w:pPr>
        <w:jc w:val="center"/>
        <w:rPr>
          <w:rFonts w:hint="eastAsia" w:eastAsia="方正小标宋_GBK" w:cs="方正小标宋_GBK"/>
          <w:snapToGrid w:val="0"/>
          <w:sz w:val="36"/>
          <w:szCs w:val="36"/>
          <w:lang w:bidi="ar"/>
        </w:rPr>
      </w:pPr>
    </w:p>
    <w:p>
      <w:pPr>
        <w:jc w:val="center"/>
        <w:rPr>
          <w:rFonts w:hint="eastAsia" w:eastAsia="方正小标宋_GBK" w:cs="方正小标宋_GBK"/>
          <w:snapToGrid w:val="0"/>
          <w:sz w:val="36"/>
          <w:szCs w:val="36"/>
          <w:lang w:bidi="ar"/>
        </w:rPr>
      </w:pPr>
    </w:p>
    <w:p>
      <w:pPr>
        <w:jc w:val="center"/>
        <w:rPr>
          <w:rFonts w:hint="eastAsia" w:eastAsia="方正小标宋_GBK" w:cs="方正小标宋_GBK"/>
          <w:snapToGrid w:val="0"/>
          <w:sz w:val="36"/>
          <w:szCs w:val="36"/>
          <w:lang w:bidi="ar"/>
        </w:rPr>
      </w:pPr>
    </w:p>
    <w:p>
      <w:pPr>
        <w:jc w:val="center"/>
        <w:rPr>
          <w:rFonts w:hint="eastAsia" w:eastAsia="方正小标宋_GBK" w:cs="方正小标宋_GBK"/>
          <w:snapToGrid w:val="0"/>
          <w:sz w:val="36"/>
          <w:szCs w:val="36"/>
          <w:lang w:bidi="ar"/>
        </w:rPr>
      </w:pPr>
    </w:p>
    <w:p>
      <w:pPr>
        <w:jc w:val="center"/>
        <w:rPr>
          <w:rFonts w:eastAsia="黑体"/>
          <w:bCs/>
          <w:sz w:val="28"/>
          <w:szCs w:val="28"/>
        </w:rPr>
      </w:pPr>
      <w:r>
        <w:rPr>
          <w:rFonts w:hint="eastAsia" w:eastAsia="方正小标宋_GBK" w:cs="方正小标宋_GBK"/>
          <w:snapToGrid w:val="0"/>
          <w:sz w:val="36"/>
          <w:szCs w:val="36"/>
          <w:lang w:bidi="ar"/>
        </w:rPr>
        <w:t>苏州市非急救转运服务车标识及喷涂要求</w:t>
      </w:r>
    </w:p>
    <w:p>
      <w:pPr>
        <w:widowControl/>
        <w:spacing w:line="580" w:lineRule="exact"/>
        <w:ind w:firstLine="640" w:firstLineChars="200"/>
        <w:rPr>
          <w:rFonts w:eastAsia="方正仿宋_GBK"/>
          <w:bCs/>
          <w:sz w:val="32"/>
          <w:szCs w:val="32"/>
        </w:rPr>
      </w:pPr>
      <w:r>
        <w:rPr>
          <w:rFonts w:eastAsia="黑体"/>
          <w:bCs/>
          <w:sz w:val="32"/>
          <w:szCs w:val="32"/>
          <w:lang w:bidi="ar"/>
        </w:rPr>
        <w:t>一、图标说明</w:t>
      </w:r>
    </w:p>
    <w:p>
      <w:pPr>
        <w:widowControl/>
        <w:spacing w:line="580" w:lineRule="exact"/>
        <w:ind w:firstLine="640" w:firstLineChars="200"/>
        <w:rPr>
          <w:rFonts w:eastAsia="方正仿宋_GBK"/>
          <w:bCs/>
          <w:sz w:val="32"/>
          <w:szCs w:val="32"/>
        </w:rPr>
      </w:pPr>
      <w:r>
        <w:rPr>
          <w:rFonts w:eastAsia="方正仿宋_GBK"/>
          <w:bCs/>
          <w:sz w:val="32"/>
          <w:szCs w:val="32"/>
          <w:lang w:bidi="ar"/>
        </w:rPr>
        <w:t>标识部位根据实际分别置于转运车车头、车尾、车身两侧，具体位置根据车型而定。</w:t>
      </w:r>
    </w:p>
    <w:p>
      <w:pPr>
        <w:widowControl/>
        <w:spacing w:line="580" w:lineRule="exact"/>
        <w:ind w:firstLine="640" w:firstLineChars="200"/>
        <w:jc w:val="left"/>
        <w:rPr>
          <w:rFonts w:eastAsia="黑体"/>
          <w:bCs/>
          <w:sz w:val="32"/>
          <w:szCs w:val="32"/>
        </w:rPr>
      </w:pPr>
      <w:r>
        <w:rPr>
          <w:rFonts w:hint="eastAsia" w:eastAsia="黑体"/>
          <w:bCs/>
          <w:sz w:val="32"/>
          <w:szCs w:val="32"/>
          <w:lang w:bidi="ar"/>
        </w:rPr>
        <w:t>二、</w:t>
      </w:r>
      <w:r>
        <w:rPr>
          <w:rFonts w:eastAsia="黑体"/>
          <w:bCs/>
          <w:sz w:val="32"/>
          <w:szCs w:val="32"/>
          <w:lang w:bidi="ar"/>
        </w:rPr>
        <w:t>文字、标识内容表</w:t>
      </w:r>
    </w:p>
    <w:tbl>
      <w:tblPr>
        <w:tblStyle w:val="6"/>
        <w:tblpPr w:leftFromText="180" w:rightFromText="180" w:vertAnchor="text" w:horzAnchor="page" w:tblpX="2091" w:tblpY="334"/>
        <w:tblOverlap w:val="never"/>
        <w:tblW w:w="83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5"/>
        <w:gridCol w:w="6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4"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黑体"/>
                <w:bCs/>
                <w:sz w:val="32"/>
                <w:szCs w:val="32"/>
              </w:rPr>
            </w:pPr>
            <w:r>
              <w:rPr>
                <w:rFonts w:eastAsia="黑体"/>
                <w:bCs/>
                <w:sz w:val="32"/>
                <w:szCs w:val="32"/>
                <w:lang w:bidi="ar"/>
              </w:rPr>
              <w:t>车头</w:t>
            </w:r>
          </w:p>
        </w:tc>
        <w:tc>
          <w:tcPr>
            <w:tcW w:w="6921" w:type="dxa"/>
            <w:tcBorders>
              <w:top w:val="single" w:color="auto" w:sz="4" w:space="0"/>
              <w:left w:val="single" w:color="auto" w:sz="4" w:space="0"/>
              <w:bottom w:val="single" w:color="auto" w:sz="4" w:space="0"/>
              <w:right w:val="single" w:color="auto" w:sz="4" w:space="0"/>
            </w:tcBorders>
            <w:vAlign w:val="center"/>
          </w:tcPr>
          <w:p>
            <w:pPr>
              <w:widowControl/>
              <w:spacing w:line="540" w:lineRule="exact"/>
              <w:rPr>
                <w:rFonts w:eastAsia="方正仿宋_GBK"/>
                <w:bCs/>
                <w:sz w:val="32"/>
                <w:szCs w:val="32"/>
              </w:rPr>
            </w:pPr>
            <w:r>
              <w:rPr>
                <w:rFonts w:eastAsia="方正仿宋_GBK"/>
                <w:bCs/>
                <w:sz w:val="32"/>
                <w:szCs w:val="32"/>
                <w:lang w:bidi="ar"/>
              </w:rPr>
              <w:t>苏州非急救+2个非急救标识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黑体"/>
                <w:bCs/>
                <w:sz w:val="32"/>
                <w:szCs w:val="32"/>
              </w:rPr>
            </w:pPr>
            <w:r>
              <w:rPr>
                <w:rFonts w:eastAsia="黑体"/>
                <w:bCs/>
                <w:sz w:val="32"/>
                <w:szCs w:val="32"/>
                <w:lang w:bidi="ar"/>
              </w:rPr>
              <w:t>侧面</w:t>
            </w:r>
          </w:p>
        </w:tc>
        <w:tc>
          <w:tcPr>
            <w:tcW w:w="6921" w:type="dxa"/>
            <w:tcBorders>
              <w:top w:val="single" w:color="auto" w:sz="4" w:space="0"/>
              <w:left w:val="single" w:color="auto" w:sz="4" w:space="0"/>
              <w:bottom w:val="single" w:color="auto" w:sz="4" w:space="0"/>
              <w:right w:val="single" w:color="auto" w:sz="4" w:space="0"/>
            </w:tcBorders>
            <w:vAlign w:val="center"/>
          </w:tcPr>
          <w:p>
            <w:pPr>
              <w:widowControl/>
              <w:spacing w:line="540" w:lineRule="exact"/>
              <w:rPr>
                <w:rFonts w:eastAsia="方正仿宋_GBK"/>
                <w:bCs/>
                <w:sz w:val="32"/>
                <w:szCs w:val="32"/>
              </w:rPr>
            </w:pPr>
            <w:r>
              <w:rPr>
                <w:rFonts w:eastAsia="方正仿宋_GBK"/>
                <w:bCs/>
                <w:sz w:val="32"/>
                <w:szCs w:val="32"/>
                <w:lang w:bidi="ar"/>
              </w:rPr>
              <w:t>上部：1条横向细反光带</w:t>
            </w:r>
          </w:p>
          <w:p>
            <w:pPr>
              <w:widowControl/>
              <w:spacing w:line="540" w:lineRule="exact"/>
              <w:rPr>
                <w:rFonts w:eastAsia="方正仿宋_GBK"/>
                <w:bCs/>
                <w:sz w:val="32"/>
                <w:szCs w:val="32"/>
              </w:rPr>
            </w:pPr>
            <w:r>
              <w:rPr>
                <w:rFonts w:eastAsia="方正仿宋_GBK"/>
                <w:bCs/>
                <w:sz w:val="32"/>
                <w:szCs w:val="32"/>
                <w:lang w:bidi="ar"/>
              </w:rPr>
              <w:t>中部：非急救转运服务车+1条横向粗反光带</w:t>
            </w:r>
          </w:p>
          <w:p>
            <w:pPr>
              <w:widowControl/>
              <w:spacing w:line="540" w:lineRule="exact"/>
              <w:rPr>
                <w:rFonts w:eastAsia="方正仿宋_GBK"/>
                <w:bCs/>
                <w:sz w:val="32"/>
                <w:szCs w:val="32"/>
              </w:rPr>
            </w:pPr>
            <w:r>
              <w:rPr>
                <w:rFonts w:eastAsia="方正仿宋_GBK"/>
                <w:bCs/>
                <w:sz w:val="32"/>
                <w:szCs w:val="32"/>
                <w:lang w:bidi="ar"/>
              </w:rPr>
              <w:t>下部：1条横向细反光带</w:t>
            </w:r>
          </w:p>
          <w:p>
            <w:pPr>
              <w:widowControl/>
              <w:spacing w:line="540" w:lineRule="exact"/>
              <w:rPr>
                <w:rFonts w:eastAsia="方正仿宋_GBK"/>
                <w:bCs/>
                <w:sz w:val="32"/>
                <w:szCs w:val="32"/>
              </w:rPr>
            </w:pPr>
            <w:r>
              <w:rPr>
                <w:rFonts w:eastAsia="方正仿宋_GBK"/>
                <w:bCs/>
                <w:sz w:val="32"/>
                <w:szCs w:val="32"/>
                <w:lang w:bidi="ar"/>
              </w:rPr>
              <w:t>车身左右后角：车辆编号</w:t>
            </w:r>
          </w:p>
          <w:p>
            <w:pPr>
              <w:widowControl/>
              <w:spacing w:line="540" w:lineRule="exact"/>
              <w:rPr>
                <w:rFonts w:eastAsia="方正仿宋_GBK"/>
                <w:bCs/>
                <w:sz w:val="32"/>
                <w:szCs w:val="32"/>
              </w:rPr>
            </w:pPr>
            <w:r>
              <w:rPr>
                <w:rFonts w:eastAsia="方正仿宋_GBK"/>
                <w:bCs/>
                <w:sz w:val="32"/>
                <w:szCs w:val="32"/>
                <w:lang w:bidi="ar"/>
              </w:rPr>
              <w:t>前车门：非急救标识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4"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黑体"/>
                <w:bCs/>
                <w:sz w:val="32"/>
                <w:szCs w:val="32"/>
              </w:rPr>
            </w:pPr>
            <w:r>
              <w:rPr>
                <w:rFonts w:eastAsia="黑体"/>
                <w:bCs/>
                <w:sz w:val="32"/>
                <w:szCs w:val="32"/>
                <w:lang w:bidi="ar"/>
              </w:rPr>
              <w:t>车尾</w:t>
            </w:r>
          </w:p>
        </w:tc>
        <w:tc>
          <w:tcPr>
            <w:tcW w:w="6921" w:type="dxa"/>
            <w:tcBorders>
              <w:top w:val="single" w:color="auto" w:sz="4" w:space="0"/>
              <w:left w:val="single" w:color="auto" w:sz="4" w:space="0"/>
              <w:bottom w:val="single" w:color="auto" w:sz="4" w:space="0"/>
              <w:right w:val="single" w:color="auto" w:sz="4" w:space="0"/>
            </w:tcBorders>
            <w:vAlign w:val="center"/>
          </w:tcPr>
          <w:p>
            <w:pPr>
              <w:widowControl/>
              <w:spacing w:line="540" w:lineRule="exact"/>
              <w:rPr>
                <w:rFonts w:eastAsia="方正仿宋_GBK"/>
                <w:bCs/>
                <w:sz w:val="32"/>
                <w:szCs w:val="32"/>
              </w:rPr>
            </w:pPr>
            <w:r>
              <w:rPr>
                <w:rFonts w:eastAsia="方正仿宋_GBK"/>
                <w:bCs/>
                <w:sz w:val="32"/>
                <w:szCs w:val="32"/>
                <w:lang w:bidi="ar"/>
              </w:rPr>
              <w:t>非急救转运服务车+1条横向粗反光带</w:t>
            </w:r>
          </w:p>
        </w:tc>
      </w:tr>
    </w:tbl>
    <w:p>
      <w:pPr>
        <w:widowControl/>
        <w:spacing w:line="580" w:lineRule="exact"/>
        <w:ind w:firstLine="640" w:firstLineChars="200"/>
        <w:jc w:val="left"/>
        <w:rPr>
          <w:rFonts w:eastAsia="方正仿宋_GBK"/>
          <w:bCs/>
          <w:sz w:val="32"/>
          <w:szCs w:val="32"/>
        </w:rPr>
      </w:pPr>
      <w:r>
        <w:rPr>
          <w:rFonts w:eastAsia="方正仿宋_GBK"/>
          <w:bCs/>
          <w:sz w:val="32"/>
          <w:szCs w:val="32"/>
          <w:lang w:bidi="ar"/>
        </w:rPr>
        <w:t>标识字样大小根据不同车型而定，但车头“苏州非急救”字体要比其他字体大1号。标识字体：红色标宋；车辆编号：红色黑体。</w:t>
      </w:r>
    </w:p>
    <w:p>
      <w:pPr>
        <w:widowControl/>
        <w:tabs>
          <w:tab w:val="left" w:pos="0"/>
        </w:tabs>
        <w:spacing w:line="580" w:lineRule="exact"/>
        <w:ind w:firstLine="640" w:firstLineChars="200"/>
        <w:rPr>
          <w:rFonts w:eastAsia="黑体"/>
          <w:bCs/>
          <w:sz w:val="32"/>
          <w:szCs w:val="32"/>
        </w:rPr>
      </w:pPr>
      <w:r>
        <w:rPr>
          <w:rFonts w:hint="eastAsia" w:eastAsia="黑体"/>
          <w:bCs/>
          <w:sz w:val="32"/>
          <w:szCs w:val="32"/>
          <w:lang w:bidi="ar"/>
        </w:rPr>
        <w:t>三</w:t>
      </w:r>
      <w:r>
        <w:rPr>
          <w:rFonts w:eastAsia="黑体"/>
          <w:bCs/>
          <w:sz w:val="32"/>
          <w:szCs w:val="32"/>
          <w:lang w:bidi="ar"/>
        </w:rPr>
        <w:t>、反光带</w:t>
      </w:r>
      <w:r>
        <w:rPr>
          <w:rFonts w:hint="eastAsia" w:eastAsia="黑体"/>
          <w:bCs/>
          <w:sz w:val="32"/>
          <w:szCs w:val="32"/>
          <w:lang w:bidi="ar"/>
        </w:rPr>
        <w:t>及</w:t>
      </w:r>
      <w:r>
        <w:rPr>
          <w:rFonts w:eastAsia="黑体"/>
          <w:bCs/>
          <w:sz w:val="32"/>
          <w:szCs w:val="32"/>
          <w:lang w:bidi="ar"/>
        </w:rPr>
        <w:t>车身主体颜色</w:t>
      </w:r>
    </w:p>
    <w:p>
      <w:pPr>
        <w:widowControl/>
        <w:spacing w:line="580" w:lineRule="exact"/>
        <w:ind w:firstLine="640" w:firstLineChars="200"/>
        <w:rPr>
          <w:rFonts w:eastAsia="黑体"/>
          <w:bCs/>
          <w:sz w:val="32"/>
          <w:szCs w:val="32"/>
        </w:rPr>
      </w:pPr>
      <w:r>
        <w:rPr>
          <w:rFonts w:hint="eastAsia" w:eastAsia="方正仿宋_GBK"/>
          <w:bCs/>
          <w:sz w:val="32"/>
          <w:szCs w:val="32"/>
          <w:lang w:bidi="ar"/>
        </w:rPr>
        <w:t>反光带</w:t>
      </w:r>
      <w:r>
        <w:rPr>
          <w:rFonts w:eastAsia="方正仿宋_GBK"/>
          <w:bCs/>
          <w:sz w:val="32"/>
          <w:szCs w:val="32"/>
          <w:lang w:bidi="ar"/>
        </w:rPr>
        <w:t>总体要求：既能起警示作用，又显简洁、美观</w:t>
      </w:r>
      <w:r>
        <w:rPr>
          <w:rFonts w:hint="eastAsia" w:eastAsia="方正仿宋_GBK"/>
          <w:bCs/>
          <w:sz w:val="32"/>
          <w:szCs w:val="32"/>
          <w:lang w:bidi="ar"/>
        </w:rPr>
        <w:t>，</w:t>
      </w:r>
      <w:r>
        <w:rPr>
          <w:rFonts w:eastAsia="方正仿宋_GBK"/>
          <w:bCs/>
          <w:sz w:val="32"/>
          <w:szCs w:val="32"/>
          <w:lang w:bidi="ar"/>
        </w:rPr>
        <w:t>宽度：粗反光带为15cm；细反光带为10cm</w:t>
      </w:r>
      <w:r>
        <w:rPr>
          <w:rFonts w:hint="eastAsia" w:eastAsia="方正仿宋_GBK"/>
          <w:bCs/>
          <w:sz w:val="32"/>
          <w:szCs w:val="32"/>
          <w:lang w:bidi="ar"/>
        </w:rPr>
        <w:t>，</w:t>
      </w:r>
      <w:r>
        <w:rPr>
          <w:rFonts w:eastAsia="方正仿宋_GBK"/>
          <w:bCs/>
          <w:sz w:val="32"/>
          <w:szCs w:val="32"/>
          <w:lang w:bidi="ar"/>
        </w:rPr>
        <w:t>颜色：绿色。车身主体颜色</w:t>
      </w:r>
      <w:r>
        <w:rPr>
          <w:rFonts w:hint="eastAsia" w:eastAsia="方正仿宋_GBK"/>
          <w:bCs/>
          <w:sz w:val="32"/>
          <w:szCs w:val="32"/>
          <w:lang w:bidi="ar"/>
        </w:rPr>
        <w:t>为</w:t>
      </w:r>
      <w:r>
        <w:rPr>
          <w:rFonts w:eastAsia="方正仿宋_GBK"/>
          <w:bCs/>
          <w:sz w:val="32"/>
          <w:szCs w:val="32"/>
          <w:lang w:bidi="ar"/>
        </w:rPr>
        <w:t>白色。</w:t>
      </w:r>
    </w:p>
    <w:p>
      <w:pPr>
        <w:widowControl/>
        <w:tabs>
          <w:tab w:val="left" w:pos="0"/>
        </w:tabs>
        <w:spacing w:line="580" w:lineRule="exact"/>
        <w:ind w:firstLine="640" w:firstLineChars="200"/>
        <w:rPr>
          <w:rFonts w:eastAsia="黑体"/>
          <w:bCs/>
          <w:sz w:val="32"/>
          <w:szCs w:val="32"/>
          <w:lang w:bidi="ar"/>
        </w:rPr>
      </w:pPr>
      <w:r>
        <w:rPr>
          <w:rFonts w:eastAsia="黑体"/>
          <w:bCs/>
          <w:sz w:val="32"/>
          <w:szCs w:val="32"/>
          <w:lang w:bidi="ar"/>
        </w:rPr>
        <w:t>四、非急救标识</w:t>
      </w:r>
    </w:p>
    <w:p>
      <w:pPr>
        <w:spacing w:line="500" w:lineRule="exact"/>
        <w:ind w:firstLine="640" w:firstLineChars="200"/>
        <w:rPr>
          <w:rFonts w:eastAsia="方正仿宋_GBK"/>
          <w:bCs/>
          <w:sz w:val="32"/>
          <w:szCs w:val="32"/>
          <w:lang w:bidi="ar"/>
        </w:rPr>
      </w:pPr>
      <w:r>
        <w:rPr>
          <w:rFonts w:eastAsia="方正仿宋_GBK"/>
          <w:bCs/>
          <w:sz w:val="32"/>
          <w:szCs w:val="32"/>
          <w:lang w:bidi="ar"/>
        </w:rPr>
        <w:t>非急救标识主体为圆形，外圈绿底白字，内容为“苏州非急救转运服务”；内圈白底绿色图案，图案为三只手掌构成的三角形，外围两条麦穗；三只手掌象征政府、市场、社会，三角形象征稳定的结构，麦穗象征平安。整体寓意是按照政府主导、市场调节、社会参与的原则，为市民提供绿色、便捷、安全的非急救转运服务，提升市民获得感。</w:t>
      </w:r>
    </w:p>
    <w:p>
      <w:pPr>
        <w:spacing w:line="500" w:lineRule="exact"/>
        <w:ind w:firstLine="640" w:firstLineChars="200"/>
        <w:rPr>
          <w:rFonts w:eastAsia="方正仿宋_GBK"/>
          <w:bCs/>
          <w:sz w:val="32"/>
          <w:szCs w:val="32"/>
          <w:lang w:bidi="ar"/>
        </w:rPr>
      </w:pPr>
    </w:p>
    <w:p>
      <w:pPr>
        <w:jc w:val="center"/>
        <w:rPr>
          <w:rFonts w:ascii="方正仿宋_GBK" w:hAnsi="楷体" w:eastAsia="方正仿宋_GBK" w:cs="楷体"/>
          <w:bCs/>
          <w:sz w:val="28"/>
          <w:szCs w:val="28"/>
        </w:rPr>
      </w:pPr>
      <w:r>
        <w:rPr>
          <w:rFonts w:hint="eastAsia" w:ascii="方正仿宋_GBK" w:hAnsi="楷体" w:eastAsia="方正仿宋_GBK" w:cs="楷体"/>
          <w:sz w:val="28"/>
          <w:szCs w:val="28"/>
          <w:lang w:bidi="ar"/>
        </w:rPr>
        <w:drawing>
          <wp:inline distT="0" distB="0" distL="0" distR="0">
            <wp:extent cx="2809875" cy="2762250"/>
            <wp:effectExtent l="0" t="0" r="0" b="0"/>
            <wp:docPr id="3" name="图片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809875" cy="2762250"/>
                    </a:xfrm>
                    <a:prstGeom prst="rect">
                      <a:avLst/>
                    </a:prstGeom>
                    <a:noFill/>
                    <a:ln>
                      <a:noFill/>
                    </a:ln>
                  </pic:spPr>
                </pic:pic>
              </a:graphicData>
            </a:graphic>
          </wp:inline>
        </w:drawing>
      </w:r>
    </w:p>
    <w:p>
      <w:pPr>
        <w:widowControl/>
        <w:spacing w:line="500" w:lineRule="exact"/>
        <w:jc w:val="center"/>
        <w:rPr>
          <w:rFonts w:ascii="方正仿宋_GBK" w:hAnsi="楷体" w:eastAsia="方正仿宋_GBK" w:cs="楷体"/>
          <w:bCs/>
          <w:sz w:val="28"/>
          <w:szCs w:val="28"/>
        </w:rPr>
      </w:pPr>
      <w:r>
        <w:rPr>
          <w:rFonts w:hint="eastAsia" w:ascii="方正仿宋_GBK" w:hAnsi="楷体" w:eastAsia="方正仿宋_GBK" w:cs="楷体"/>
          <w:bCs/>
          <w:sz w:val="28"/>
          <w:szCs w:val="28"/>
          <w:lang w:bidi="ar"/>
        </w:rPr>
        <w:t>非急救标识</w:t>
      </w:r>
    </w:p>
    <w:p>
      <w:pPr>
        <w:jc w:val="center"/>
        <w:rPr>
          <w:rFonts w:ascii="方正仿宋_GBK" w:hAnsi="楷体" w:eastAsia="方正仿宋_GBK" w:cs="楷体"/>
          <w:bCs/>
          <w:sz w:val="28"/>
          <w:szCs w:val="28"/>
        </w:rPr>
      </w:pPr>
      <w:r>
        <w:rPr>
          <w:rFonts w:hint="eastAsia"/>
        </w:rPr>
        <w:drawing>
          <wp:inline distT="0" distB="0" distL="0" distR="0">
            <wp:extent cx="5267325" cy="3609975"/>
            <wp:effectExtent l="0" t="0" r="9525" b="8890"/>
            <wp:docPr id="2" name="图片 8" descr="非急救标识（修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descr="非急救标识（修正）"/>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267325" cy="3609975"/>
                    </a:xfrm>
                    <a:prstGeom prst="rect">
                      <a:avLst/>
                    </a:prstGeom>
                    <a:noFill/>
                    <a:ln>
                      <a:noFill/>
                    </a:ln>
                  </pic:spPr>
                </pic:pic>
              </a:graphicData>
            </a:graphic>
          </wp:inline>
        </w:drawing>
      </w:r>
    </w:p>
    <w:p>
      <w:pPr>
        <w:jc w:val="center"/>
        <w:rPr>
          <w:rFonts w:ascii="方正仿宋_GBK" w:hAnsi="楷体" w:eastAsia="方正仿宋_GBK" w:cs="楷体"/>
          <w:bCs/>
          <w:sz w:val="28"/>
          <w:szCs w:val="28"/>
        </w:rPr>
      </w:pPr>
      <w:r>
        <w:rPr>
          <w:rFonts w:hint="eastAsia" w:ascii="方正仿宋_GBK" w:hAnsi="楷体" w:eastAsia="方正仿宋_GBK" w:cs="楷体"/>
          <w:bCs/>
          <w:sz w:val="28"/>
          <w:szCs w:val="28"/>
          <w:lang w:bidi="ar"/>
        </w:rPr>
        <w:t>非急救转运服务车总体外观</w:t>
      </w:r>
    </w:p>
    <w:p>
      <w:pPr>
        <w:widowControl/>
        <w:jc w:val="left"/>
        <w:rPr>
          <w:rFonts w:ascii="宋体" w:hAnsi="宋体" w:cs="宋体"/>
          <w:kern w:val="0"/>
          <w:sz w:val="24"/>
        </w:rPr>
      </w:pPr>
    </w:p>
    <w:sectPr>
      <w:footerReference r:id="rId3" w:type="default"/>
      <w:pgSz w:w="11906" w:h="16838"/>
      <w:pgMar w:top="1440" w:right="1800" w:bottom="1440" w:left="1800" w:header="851" w:footer="141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7785" cy="13144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3"/>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  \* MERGEFORMAT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1</w:t>
                          </w:r>
                          <w:r>
                            <w:rPr>
                              <w:rFonts w:hint="eastAsia" w:ascii="宋体" w:hAnsi="宋体" w:eastAsia="宋体" w:cs="宋体"/>
                              <w:color w:val="auto"/>
                              <w:sz w:val="28"/>
                              <w:szCs w:val="2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4.55pt;mso-position-horizontal:outside;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Pi91E0AAAAAIBAAAPAAAAAAAAAAEAIAAAACIAAABkcnMvZG93&#10;bnJldi54bWxQSwECFAAUAAAACACHTuJAAu2O5ggCAAABBAAADgAAAAAAAAABACAAAAAfAQAAZHJz&#10;L2Uyb0RvYy54bWxQSwUGAAAAAAYABgBZAQAAmQUAAAAA&#10;">
              <v:fill on="f" focussize="0,0"/>
              <v:stroke on="f"/>
              <v:imagedata o:title=""/>
              <o:lock v:ext="edit" aspectratio="f"/>
              <v:textbox inset="0mm,0mm,0mm,0mm" style="mso-fit-shape-to-text:t;">
                <w:txbxContent>
                  <w:p>
                    <w:pPr>
                      <w:pStyle w:val="3"/>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  \* MERGEFORMAT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1</w:t>
                    </w:r>
                    <w:r>
                      <w:rPr>
                        <w:rFonts w:hint="eastAsia" w:ascii="宋体" w:hAnsi="宋体" w:eastAsia="宋体" w:cs="宋体"/>
                        <w:color w:val="auto"/>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9C948B"/>
    <w:multiLevelType w:val="singleLevel"/>
    <w:tmpl w:val="F89C948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NjYTc1NjNiOGRhNGU1ZWUzOWNmMDdkMWM5MTg5MjIifQ=="/>
  </w:docVars>
  <w:rsids>
    <w:rsidRoot w:val="00F86929"/>
    <w:rsid w:val="00021AFC"/>
    <w:rsid w:val="00023540"/>
    <w:rsid w:val="00041676"/>
    <w:rsid w:val="00061496"/>
    <w:rsid w:val="00071EC9"/>
    <w:rsid w:val="000D5A26"/>
    <w:rsid w:val="000E05E9"/>
    <w:rsid w:val="000E1AEF"/>
    <w:rsid w:val="000F10C9"/>
    <w:rsid w:val="000F1DD1"/>
    <w:rsid w:val="00105A96"/>
    <w:rsid w:val="00106D8D"/>
    <w:rsid w:val="00106EE3"/>
    <w:rsid w:val="00141DF4"/>
    <w:rsid w:val="0023551E"/>
    <w:rsid w:val="00235AB1"/>
    <w:rsid w:val="002569F3"/>
    <w:rsid w:val="002819E9"/>
    <w:rsid w:val="00312585"/>
    <w:rsid w:val="00321D5D"/>
    <w:rsid w:val="003932CC"/>
    <w:rsid w:val="00393AE5"/>
    <w:rsid w:val="003B6D3C"/>
    <w:rsid w:val="003E178A"/>
    <w:rsid w:val="004456E6"/>
    <w:rsid w:val="00466ABB"/>
    <w:rsid w:val="00482F88"/>
    <w:rsid w:val="005254CE"/>
    <w:rsid w:val="005369D4"/>
    <w:rsid w:val="00552971"/>
    <w:rsid w:val="00571C8C"/>
    <w:rsid w:val="0057709F"/>
    <w:rsid w:val="005A320C"/>
    <w:rsid w:val="005C21BB"/>
    <w:rsid w:val="005C31B3"/>
    <w:rsid w:val="005F4A3F"/>
    <w:rsid w:val="0069725F"/>
    <w:rsid w:val="006A68D5"/>
    <w:rsid w:val="006B58DE"/>
    <w:rsid w:val="006D132B"/>
    <w:rsid w:val="006F1D91"/>
    <w:rsid w:val="006F28E2"/>
    <w:rsid w:val="00714AC5"/>
    <w:rsid w:val="0071788C"/>
    <w:rsid w:val="007213F2"/>
    <w:rsid w:val="00736E28"/>
    <w:rsid w:val="00782B44"/>
    <w:rsid w:val="007903AD"/>
    <w:rsid w:val="00832B6F"/>
    <w:rsid w:val="008451EA"/>
    <w:rsid w:val="008624AC"/>
    <w:rsid w:val="008A136B"/>
    <w:rsid w:val="008F50D4"/>
    <w:rsid w:val="00944356"/>
    <w:rsid w:val="00950A16"/>
    <w:rsid w:val="009515E0"/>
    <w:rsid w:val="009572DB"/>
    <w:rsid w:val="00974B32"/>
    <w:rsid w:val="00986E79"/>
    <w:rsid w:val="009B7957"/>
    <w:rsid w:val="009C4449"/>
    <w:rsid w:val="009F6F49"/>
    <w:rsid w:val="009F7743"/>
    <w:rsid w:val="00A10FCD"/>
    <w:rsid w:val="00A50367"/>
    <w:rsid w:val="00A70843"/>
    <w:rsid w:val="00A72242"/>
    <w:rsid w:val="00B22215"/>
    <w:rsid w:val="00B22CB1"/>
    <w:rsid w:val="00B30483"/>
    <w:rsid w:val="00B32DA4"/>
    <w:rsid w:val="00B414D6"/>
    <w:rsid w:val="00B50461"/>
    <w:rsid w:val="00B731FE"/>
    <w:rsid w:val="00BA6F6D"/>
    <w:rsid w:val="00BA7742"/>
    <w:rsid w:val="00BD7EB5"/>
    <w:rsid w:val="00BF39D1"/>
    <w:rsid w:val="00BF726E"/>
    <w:rsid w:val="00C23662"/>
    <w:rsid w:val="00C32CB9"/>
    <w:rsid w:val="00C8646D"/>
    <w:rsid w:val="00C935C0"/>
    <w:rsid w:val="00CC5193"/>
    <w:rsid w:val="00D0147A"/>
    <w:rsid w:val="00D238E4"/>
    <w:rsid w:val="00D44A53"/>
    <w:rsid w:val="00D64B0C"/>
    <w:rsid w:val="00D90AB4"/>
    <w:rsid w:val="00DE7589"/>
    <w:rsid w:val="00E40ABF"/>
    <w:rsid w:val="00E53421"/>
    <w:rsid w:val="00E60652"/>
    <w:rsid w:val="00EB2CC7"/>
    <w:rsid w:val="00EC7024"/>
    <w:rsid w:val="00ED4926"/>
    <w:rsid w:val="00F41EEC"/>
    <w:rsid w:val="00F43BCF"/>
    <w:rsid w:val="00F86929"/>
    <w:rsid w:val="00FF4BA7"/>
    <w:rsid w:val="02560429"/>
    <w:rsid w:val="0260172E"/>
    <w:rsid w:val="028E1A9C"/>
    <w:rsid w:val="03336392"/>
    <w:rsid w:val="03995B2C"/>
    <w:rsid w:val="03BA2B8C"/>
    <w:rsid w:val="05726CF6"/>
    <w:rsid w:val="05A350B2"/>
    <w:rsid w:val="05A8715B"/>
    <w:rsid w:val="063539F1"/>
    <w:rsid w:val="064B1CBB"/>
    <w:rsid w:val="068157E7"/>
    <w:rsid w:val="0766504F"/>
    <w:rsid w:val="081051FC"/>
    <w:rsid w:val="08B033CE"/>
    <w:rsid w:val="0AB725B5"/>
    <w:rsid w:val="0B0A3994"/>
    <w:rsid w:val="0B2857CB"/>
    <w:rsid w:val="0C30278C"/>
    <w:rsid w:val="0C4B2208"/>
    <w:rsid w:val="0DF92BE4"/>
    <w:rsid w:val="0FC454DF"/>
    <w:rsid w:val="10AA4761"/>
    <w:rsid w:val="112B4748"/>
    <w:rsid w:val="11B30735"/>
    <w:rsid w:val="12284E94"/>
    <w:rsid w:val="136020B0"/>
    <w:rsid w:val="13D611DD"/>
    <w:rsid w:val="149F3BC4"/>
    <w:rsid w:val="153E6A71"/>
    <w:rsid w:val="15A136B0"/>
    <w:rsid w:val="174F240F"/>
    <w:rsid w:val="17A112DB"/>
    <w:rsid w:val="17DD0774"/>
    <w:rsid w:val="1B6F2FD9"/>
    <w:rsid w:val="1BDD46CE"/>
    <w:rsid w:val="1BE02465"/>
    <w:rsid w:val="1E4B2743"/>
    <w:rsid w:val="1E593C25"/>
    <w:rsid w:val="1F0477EE"/>
    <w:rsid w:val="20384A30"/>
    <w:rsid w:val="205D4CE0"/>
    <w:rsid w:val="2221056C"/>
    <w:rsid w:val="224D357D"/>
    <w:rsid w:val="23295DA4"/>
    <w:rsid w:val="23920D7C"/>
    <w:rsid w:val="23C10D3C"/>
    <w:rsid w:val="244A22F4"/>
    <w:rsid w:val="250A09DD"/>
    <w:rsid w:val="260E4F9E"/>
    <w:rsid w:val="26195955"/>
    <w:rsid w:val="28BC141D"/>
    <w:rsid w:val="292F7ECA"/>
    <w:rsid w:val="29B15D93"/>
    <w:rsid w:val="2A1318FB"/>
    <w:rsid w:val="2A64197B"/>
    <w:rsid w:val="2BF72C96"/>
    <w:rsid w:val="2D6E7586"/>
    <w:rsid w:val="30C035CB"/>
    <w:rsid w:val="31243F7A"/>
    <w:rsid w:val="3184278F"/>
    <w:rsid w:val="318A2BFA"/>
    <w:rsid w:val="329362F5"/>
    <w:rsid w:val="354D1154"/>
    <w:rsid w:val="368A72B3"/>
    <w:rsid w:val="38FC3820"/>
    <w:rsid w:val="3949729A"/>
    <w:rsid w:val="3A10210A"/>
    <w:rsid w:val="3A1E5DEB"/>
    <w:rsid w:val="3A890988"/>
    <w:rsid w:val="3B691A77"/>
    <w:rsid w:val="3B797CC6"/>
    <w:rsid w:val="3BC81B2B"/>
    <w:rsid w:val="3C42717A"/>
    <w:rsid w:val="3D7158E4"/>
    <w:rsid w:val="404326A3"/>
    <w:rsid w:val="40F41E3E"/>
    <w:rsid w:val="42234C07"/>
    <w:rsid w:val="423F39A2"/>
    <w:rsid w:val="424B5469"/>
    <w:rsid w:val="437571D2"/>
    <w:rsid w:val="44327AE3"/>
    <w:rsid w:val="46207F1A"/>
    <w:rsid w:val="467218AB"/>
    <w:rsid w:val="47B2440D"/>
    <w:rsid w:val="47F9337F"/>
    <w:rsid w:val="4A2C2064"/>
    <w:rsid w:val="4B231A11"/>
    <w:rsid w:val="504A7358"/>
    <w:rsid w:val="512D5F8A"/>
    <w:rsid w:val="51CA1D81"/>
    <w:rsid w:val="51D46DCB"/>
    <w:rsid w:val="558B12C7"/>
    <w:rsid w:val="57AD2475"/>
    <w:rsid w:val="57DF5F4B"/>
    <w:rsid w:val="584724D3"/>
    <w:rsid w:val="5A477124"/>
    <w:rsid w:val="5B02158C"/>
    <w:rsid w:val="5B4E16E7"/>
    <w:rsid w:val="5C0E0A22"/>
    <w:rsid w:val="5DFD6E4B"/>
    <w:rsid w:val="5E482613"/>
    <w:rsid w:val="5F7264BA"/>
    <w:rsid w:val="60795F64"/>
    <w:rsid w:val="611727B6"/>
    <w:rsid w:val="614F57AD"/>
    <w:rsid w:val="61700D68"/>
    <w:rsid w:val="61F32E99"/>
    <w:rsid w:val="62391CB8"/>
    <w:rsid w:val="62BE3340"/>
    <w:rsid w:val="632B1EC0"/>
    <w:rsid w:val="67AB4D7B"/>
    <w:rsid w:val="68B4385E"/>
    <w:rsid w:val="6AE2413B"/>
    <w:rsid w:val="6CFF4861"/>
    <w:rsid w:val="6E520C29"/>
    <w:rsid w:val="71175C7C"/>
    <w:rsid w:val="71354427"/>
    <w:rsid w:val="71FB6812"/>
    <w:rsid w:val="72865218"/>
    <w:rsid w:val="73535632"/>
    <w:rsid w:val="7477728A"/>
    <w:rsid w:val="7540713B"/>
    <w:rsid w:val="76306EEF"/>
    <w:rsid w:val="76A63FAA"/>
    <w:rsid w:val="76E22FB2"/>
    <w:rsid w:val="777315F5"/>
    <w:rsid w:val="77FD03E2"/>
    <w:rsid w:val="780C5BB8"/>
    <w:rsid w:val="78B841DE"/>
    <w:rsid w:val="78DC0606"/>
    <w:rsid w:val="79433C6B"/>
    <w:rsid w:val="795A4E2A"/>
    <w:rsid w:val="79EB783D"/>
    <w:rsid w:val="7A27509D"/>
    <w:rsid w:val="7AC015E7"/>
    <w:rsid w:val="7B804F87"/>
    <w:rsid w:val="7C501EF1"/>
    <w:rsid w:val="7C783AEE"/>
    <w:rsid w:val="7D31799A"/>
    <w:rsid w:val="7E304201"/>
    <w:rsid w:val="7ECA59B1"/>
    <w:rsid w:val="7EEF4AB0"/>
    <w:rsid w:val="7F8B71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100" w:beforeAutospacing="1" w:after="100" w:afterAutospacing="1"/>
      <w:jc w:val="left"/>
    </w:pPr>
    <w:rPr>
      <w:kern w:val="0"/>
      <w:sz w:val="24"/>
    </w:rPr>
  </w:style>
  <w:style w:type="character" w:customStyle="1" w:styleId="8">
    <w:name w:val="批注框文本 字符"/>
    <w:link w:val="2"/>
    <w:qFormat/>
    <w:uiPriority w:val="0"/>
    <w:rPr>
      <w:kern w:val="2"/>
      <w:sz w:val="18"/>
      <w:szCs w:val="18"/>
    </w:rPr>
  </w:style>
  <w:style w:type="character" w:customStyle="1" w:styleId="9">
    <w:name w:val="页脚 字符"/>
    <w:link w:val="3"/>
    <w:uiPriority w:val="0"/>
    <w:rPr>
      <w:kern w:val="2"/>
      <w:sz w:val="18"/>
      <w:szCs w:val="18"/>
    </w:rPr>
  </w:style>
  <w:style w:type="character" w:customStyle="1" w:styleId="10">
    <w:name w:val="页眉 字符"/>
    <w:link w:val="4"/>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3949</Words>
  <Characters>3977</Characters>
  <Lines>31</Lines>
  <Paragraphs>8</Paragraphs>
  <TotalTime>9</TotalTime>
  <ScaleCrop>false</ScaleCrop>
  <LinksUpToDate>false</LinksUpToDate>
  <CharactersWithSpaces>3977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2022-07-08T07:36:00Z</dcterms:created>
  <dc:creator>Elyn</dc:creator>
  <cp:lastModifiedBy>王文武光军</cp:lastModifiedBy>
  <cp:lastPrinted>2022-08-09T05:15:00Z</cp:lastPrinted>
  <dcterms:modified xsi:type="dcterms:W3CDTF">2022-08-09T07:15:08Z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KSOSaveFontToCloudKey">
    <vt:lpwstr>191333139_btnclosed</vt:lpwstr>
  </property>
  <property fmtid="{D5CDD505-2E9C-101B-9397-08002B2CF9AE}" pid="4" name="ICV">
    <vt:lpwstr>780902B031A14B7BA6CAEAC97E908627</vt:lpwstr>
  </property>
</Properties>
</file>