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</w:rPr>
        <w:t>苏州市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卫生监督所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>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餐饮具集中消毒“阳光”</w:t>
      </w:r>
    </w:p>
    <w:p>
      <w:pPr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行动项目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推进会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1238250</wp:posOffset>
            </wp:positionV>
            <wp:extent cx="3547110" cy="2661285"/>
            <wp:effectExtent l="0" t="0" r="15240" b="5715"/>
            <wp:wrapSquare wrapText="bothSides"/>
            <wp:docPr id="1" name="图片 1" descr="c74be78f315de0c48ce3cbfe8a3a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4be78f315de0c48ce3cbfe8a3a7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、市委、市卫健委党组关于在党员干部中开展“两在两同”建新功行动相关要求，结合党史学习教育，所内充分发挥党建引领作用，扎实推进第一批委重点“我为群众办实事”项目。9月16日，所内集合软件公司、传染病防治监督科、信息科等部门召开餐饮具集中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毒“阳光”行动推进会，所党委副书记胡慧琴以及相关科室、公司负责同志出席本次会议。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958215</wp:posOffset>
            </wp:positionV>
            <wp:extent cx="3431540" cy="2573655"/>
            <wp:effectExtent l="0" t="0" r="16510" b="17145"/>
            <wp:wrapSquare wrapText="bothSides"/>
            <wp:docPr id="2" name="图片 2" descr="d579d7bcdd874cdc63fea4a62b58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79d7bcdd874cdc63fea4a62b58b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随着社会的进步和互联网技术的发展，对餐具饮具集中消毒服务单位推行信息化监管，通过安装在线监管系统等手段，能够进一步提高对餐消单位的监管效能、保障集中消毒餐饮具的卫生质量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今年6月我所餐饮具集中消毒“阳光”行动被纳入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苏州市卫生健康委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公布的“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我为群众办实事”15项重点项目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中，所内各科室与区县卫生监督机构、软件公司加强联动。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目前，已开展摸清本底、加强培训、</w:t>
      </w:r>
      <w:r>
        <w:rPr>
          <w:rFonts w:hint="eastAsia" w:ascii="仿宋_GB2312" w:hAnsi="仿宋_GB2312" w:eastAsia="仿宋_GB2312" w:cs="仿宋_GB2312"/>
          <w:sz w:val="32"/>
          <w:szCs w:val="32"/>
        </w:rPr>
        <w:t>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、广泛</w:t>
      </w:r>
      <w:r>
        <w:rPr>
          <w:rFonts w:hint="eastAsia" w:ascii="仿宋_GB2312" w:hAnsi="仿宋_GB2312" w:eastAsia="仿宋_GB2312" w:cs="仿宋_GB2312"/>
          <w:sz w:val="32"/>
          <w:szCs w:val="32"/>
        </w:rPr>
        <w:t>借鉴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、完善机制、建设平台等相关工作。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会上相关科室汇报了该项目的进展情况，软件公司介绍了在线监测界面，同时现场就加强信息互通、优化后台功能、制定推广标准、扩大覆盖面等方面群策群力，确保项目不断走深走实。胡慧琴副书记强调，要结合“两在两同”建新功行动和党史学习教育，以餐饮具集中消毒“阳光”行动等“我为群众办实事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项目为抓手，充分发挥党员的先锋模范作用，切实做好惠企惠民工作。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（办公室）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52BF6"/>
    <w:rsid w:val="4A152BF6"/>
    <w:rsid w:val="4F3D00D7"/>
    <w:rsid w:val="636B1D98"/>
    <w:rsid w:val="6E4B01CA"/>
    <w:rsid w:val="777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2021-09-17T05:07:00Z</dcterms:created>
  <dc:creator>董增林</dc:creator>
  <cp:lastModifiedBy>董增林</cp:lastModifiedBy>
  <cp:lastPrinted>2021-09-18T01:11:00Z</cp:lastPrinted>
  <dcterms:modified xsi:type="dcterms:W3CDTF">2021-09-22T01:27:32Z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5465B81C3C9C4E0D85D992C1C6DF0386</vt:lpwstr>
  </property>
</Properties>
</file>